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0"/>
      </w:tblGrid>
      <w:tr w:rsidR="001F19E2" w:rsidRPr="00590C10" w14:paraId="44742790" w14:textId="77777777" w:rsidTr="00ED35F2">
        <w:tc>
          <w:tcPr>
            <w:tcW w:w="5000" w:type="pct"/>
          </w:tcPr>
          <w:p w14:paraId="2F289F4D" w14:textId="743336DB" w:rsidR="00775947" w:rsidRPr="00590C10" w:rsidRDefault="001F19E2" w:rsidP="00775947">
            <w:pPr>
              <w:spacing w:line="240" w:lineRule="auto"/>
              <w:rPr>
                <w:sz w:val="36"/>
                <w:szCs w:val="36"/>
                <w:lang w:val="en-GB"/>
              </w:rPr>
            </w:pPr>
            <w:proofErr w:type="spellStart"/>
            <w:r w:rsidRPr="00A11ED1">
              <w:rPr>
                <w:sz w:val="36"/>
                <w:szCs w:val="36"/>
                <w:highlight w:val="yellow"/>
                <w:lang w:val="en-GB"/>
              </w:rPr>
              <w:t>Typico</w:t>
            </w:r>
            <w:proofErr w:type="spellEnd"/>
            <w:r w:rsidR="00C779A7" w:rsidRPr="00A11ED1">
              <w:rPr>
                <w:sz w:val="36"/>
                <w:szCs w:val="36"/>
                <w:highlight w:val="yellow"/>
                <w:lang w:val="en-GB"/>
              </w:rPr>
              <w:t xml:space="preserve"> A/S</w:t>
            </w:r>
          </w:p>
        </w:tc>
      </w:tr>
      <w:tr w:rsidR="001F19E2" w:rsidRPr="00590C10" w14:paraId="299EB918" w14:textId="77777777" w:rsidTr="00ED35F2">
        <w:tc>
          <w:tcPr>
            <w:tcW w:w="5000" w:type="pct"/>
          </w:tcPr>
          <w:p w14:paraId="371E89F1" w14:textId="77777777" w:rsidR="00775947" w:rsidRPr="00590C10" w:rsidRDefault="00775947" w:rsidP="00775947">
            <w:pPr>
              <w:spacing w:line="240" w:lineRule="auto"/>
              <w:rPr>
                <w:lang w:val="en-GB"/>
              </w:rPr>
            </w:pPr>
          </w:p>
        </w:tc>
      </w:tr>
      <w:tr w:rsidR="001F19E2" w:rsidRPr="00D86C1E" w14:paraId="430E1833" w14:textId="77777777" w:rsidTr="00ED35F2">
        <w:tc>
          <w:tcPr>
            <w:tcW w:w="5000" w:type="pct"/>
          </w:tcPr>
          <w:p w14:paraId="492F9FB1" w14:textId="7F178DE0" w:rsidR="00775947" w:rsidRPr="00590C10" w:rsidRDefault="001F19E2" w:rsidP="002D26DC">
            <w:pPr>
              <w:spacing w:line="240" w:lineRule="auto"/>
              <w:rPr>
                <w:sz w:val="32"/>
                <w:szCs w:val="32"/>
                <w:lang w:val="en-GB"/>
              </w:rPr>
            </w:pPr>
            <w:r w:rsidRPr="00590C10">
              <w:rPr>
                <w:sz w:val="32"/>
                <w:szCs w:val="32"/>
                <w:lang w:val="en-GB"/>
              </w:rPr>
              <w:t xml:space="preserve">The independent auditor's statement to Energinet in relation to the scheme </w:t>
            </w:r>
            <w:r w:rsidR="00447683">
              <w:rPr>
                <w:sz w:val="32"/>
                <w:szCs w:val="32"/>
                <w:lang w:val="en-GB"/>
              </w:rPr>
              <w:t>of</w:t>
            </w:r>
            <w:r w:rsidR="00937A97">
              <w:rPr>
                <w:sz w:val="32"/>
                <w:szCs w:val="32"/>
                <w:lang w:val="en-GB"/>
              </w:rPr>
              <w:t xml:space="preserve"> </w:t>
            </w:r>
            <w:r w:rsidR="0093138B" w:rsidRPr="0093138B">
              <w:rPr>
                <w:sz w:val="32"/>
                <w:szCs w:val="32"/>
                <w:lang w:val="en-GB"/>
              </w:rPr>
              <w:t>guarantees of origin for renewable gas</w:t>
            </w:r>
            <w:r w:rsidR="00D86C1E">
              <w:rPr>
                <w:sz w:val="32"/>
                <w:szCs w:val="32"/>
                <w:lang w:val="en-GB"/>
              </w:rPr>
              <w:t xml:space="preserve"> </w:t>
            </w:r>
            <w:r w:rsidRPr="00590C10">
              <w:rPr>
                <w:sz w:val="32"/>
                <w:szCs w:val="32"/>
                <w:lang w:val="en-GB"/>
              </w:rPr>
              <w:t>for the period 1 January</w:t>
            </w:r>
            <w:r w:rsidR="00A11ED1">
              <w:rPr>
                <w:sz w:val="32"/>
                <w:szCs w:val="32"/>
                <w:lang w:val="en-GB"/>
              </w:rPr>
              <w:t xml:space="preserve"> </w:t>
            </w:r>
            <w:r w:rsidRPr="00590C10">
              <w:rPr>
                <w:sz w:val="32"/>
                <w:szCs w:val="32"/>
                <w:lang w:val="en-GB"/>
              </w:rPr>
              <w:t>to 31 December 202</w:t>
            </w:r>
            <w:r w:rsidRPr="00A11ED1">
              <w:rPr>
                <w:sz w:val="32"/>
                <w:szCs w:val="32"/>
                <w:highlight w:val="yellow"/>
                <w:lang w:val="en-GB"/>
              </w:rPr>
              <w:t>x</w:t>
            </w:r>
          </w:p>
        </w:tc>
      </w:tr>
    </w:tbl>
    <w:p w14:paraId="0EC340A3" w14:textId="77777777" w:rsidR="00CB7D2C" w:rsidRPr="00590C10" w:rsidRDefault="00CB7D2C" w:rsidP="00175860">
      <w:pPr>
        <w:spacing w:line="240" w:lineRule="auto"/>
        <w:rPr>
          <w:lang w:val="en-GB"/>
        </w:rPr>
      </w:pPr>
    </w:p>
    <w:p w14:paraId="7393541A" w14:textId="251821F9" w:rsidR="00ED35F2" w:rsidRPr="00A11ED1" w:rsidRDefault="001F19E2" w:rsidP="00175860">
      <w:pPr>
        <w:spacing w:line="240" w:lineRule="auto"/>
        <w:rPr>
          <w:b/>
          <w:lang w:val="en-GB"/>
        </w:rPr>
      </w:pPr>
      <w:bookmarkStart w:id="0" w:name="StartHere"/>
      <w:bookmarkEnd w:id="0"/>
      <w:r w:rsidRPr="00A11ED1">
        <w:rPr>
          <w:b/>
          <w:lang w:val="en-GB"/>
        </w:rPr>
        <w:t>To</w:t>
      </w:r>
      <w:r w:rsidR="00850A5A" w:rsidRPr="00A11ED1">
        <w:rPr>
          <w:b/>
          <w:lang w:val="en-GB"/>
        </w:rPr>
        <w:t xml:space="preserve"> </w:t>
      </w:r>
      <w:r w:rsidR="006D2F49" w:rsidRPr="00A11ED1">
        <w:rPr>
          <w:b/>
          <w:lang w:val="en-GB"/>
        </w:rPr>
        <w:t xml:space="preserve">Energinet </w:t>
      </w:r>
      <w:r w:rsidRPr="00A11ED1">
        <w:rPr>
          <w:b/>
          <w:lang w:val="en-GB"/>
        </w:rPr>
        <w:t xml:space="preserve">and management of </w:t>
      </w:r>
      <w:proofErr w:type="spellStart"/>
      <w:r w:rsidRPr="00A11ED1">
        <w:rPr>
          <w:b/>
          <w:highlight w:val="yellow"/>
          <w:lang w:val="en-GB"/>
        </w:rPr>
        <w:t>Typico</w:t>
      </w:r>
      <w:proofErr w:type="spellEnd"/>
      <w:r w:rsidR="00C779A7" w:rsidRPr="00A11ED1">
        <w:rPr>
          <w:b/>
          <w:highlight w:val="yellow"/>
          <w:lang w:val="en-GB"/>
        </w:rPr>
        <w:t xml:space="preserve"> A/S</w:t>
      </w:r>
      <w:r w:rsidR="005B2C68" w:rsidRPr="00A11ED1">
        <w:rPr>
          <w:b/>
          <w:lang w:val="en-GB"/>
        </w:rPr>
        <w:t xml:space="preserve"> </w:t>
      </w:r>
      <w:r w:rsidR="00353606" w:rsidRPr="00A11ED1">
        <w:rPr>
          <w:b/>
          <w:lang w:val="en-GB"/>
        </w:rPr>
        <w:t xml:space="preserve">(CVR-nr. </w:t>
      </w:r>
      <w:proofErr w:type="spellStart"/>
      <w:r w:rsidRPr="00A11ED1">
        <w:rPr>
          <w:b/>
          <w:highlight w:val="yellow"/>
          <w:lang w:val="en-GB"/>
        </w:rPr>
        <w:t>xxxx</w:t>
      </w:r>
      <w:proofErr w:type="spellEnd"/>
      <w:r w:rsidRPr="00A11ED1">
        <w:rPr>
          <w:b/>
          <w:highlight w:val="yellow"/>
          <w:lang w:val="en-GB"/>
        </w:rPr>
        <w:t xml:space="preserve"> </w:t>
      </w:r>
      <w:proofErr w:type="spellStart"/>
      <w:r w:rsidRPr="00A11ED1">
        <w:rPr>
          <w:b/>
          <w:highlight w:val="yellow"/>
          <w:lang w:val="en-GB"/>
        </w:rPr>
        <w:t>xxxx</w:t>
      </w:r>
      <w:proofErr w:type="spellEnd"/>
      <w:r w:rsidR="00353606" w:rsidRPr="00A11ED1">
        <w:rPr>
          <w:b/>
          <w:lang w:val="en-GB"/>
        </w:rPr>
        <w:t>)</w:t>
      </w:r>
    </w:p>
    <w:p w14:paraId="760E4DB2" w14:textId="77777777" w:rsidR="007A0CE3" w:rsidRPr="00A11ED1" w:rsidRDefault="007A0CE3" w:rsidP="00175860">
      <w:pPr>
        <w:spacing w:line="240" w:lineRule="auto"/>
        <w:rPr>
          <w:lang w:val="en-GB"/>
        </w:rPr>
      </w:pPr>
    </w:p>
    <w:p w14:paraId="24AC5734" w14:textId="26AF9A89" w:rsidR="00640C77" w:rsidRPr="00A11ED1" w:rsidRDefault="00640C77" w:rsidP="00261BFA">
      <w:pPr>
        <w:spacing w:line="240" w:lineRule="auto"/>
        <w:rPr>
          <w:lang w:val="en-GB"/>
        </w:rPr>
      </w:pPr>
      <w:r w:rsidRPr="00A11ED1">
        <w:rPr>
          <w:lang w:val="en-GB"/>
        </w:rPr>
        <w:t xml:space="preserve">We have assessed the registrations of </w:t>
      </w:r>
      <w:proofErr w:type="spellStart"/>
      <w:r w:rsidRPr="00A11ED1">
        <w:rPr>
          <w:highlight w:val="yellow"/>
          <w:lang w:val="en-GB"/>
        </w:rPr>
        <w:t>Typico</w:t>
      </w:r>
      <w:proofErr w:type="spellEnd"/>
      <w:r w:rsidRPr="00A11ED1">
        <w:rPr>
          <w:highlight w:val="yellow"/>
          <w:lang w:val="en-GB"/>
        </w:rPr>
        <w:t xml:space="preserve"> A/S</w:t>
      </w:r>
      <w:r w:rsidRPr="00A11ED1">
        <w:rPr>
          <w:lang w:val="en-GB"/>
        </w:rPr>
        <w:t xml:space="preserve"> over </w:t>
      </w:r>
      <w:r w:rsidR="004B76CE">
        <w:rPr>
          <w:lang w:val="en-GB"/>
        </w:rPr>
        <w:t>cancelled</w:t>
      </w:r>
      <w:r w:rsidR="004B76CE" w:rsidRPr="00A11ED1">
        <w:rPr>
          <w:lang w:val="en-GB"/>
        </w:rPr>
        <w:t xml:space="preserve"> </w:t>
      </w:r>
      <w:r w:rsidRPr="00A11ED1">
        <w:rPr>
          <w:lang w:val="en-GB"/>
        </w:rPr>
        <w:t>guarantee</w:t>
      </w:r>
      <w:r w:rsidR="004B76CE">
        <w:rPr>
          <w:lang w:val="en-GB"/>
        </w:rPr>
        <w:t>s</w:t>
      </w:r>
      <w:r w:rsidRPr="00A11ED1">
        <w:rPr>
          <w:lang w:val="en-GB"/>
        </w:rPr>
        <w:t xml:space="preserve"> of origin</w:t>
      </w:r>
      <w:r w:rsidR="00C25013">
        <w:rPr>
          <w:lang w:val="en-GB"/>
        </w:rPr>
        <w:t xml:space="preserve"> for renewable gas (</w:t>
      </w:r>
      <w:r w:rsidR="00C25013" w:rsidRPr="00C25013">
        <w:rPr>
          <w:lang w:val="en-US"/>
        </w:rPr>
        <w:t>GOs for RE-gas</w:t>
      </w:r>
      <w:r w:rsidR="00C25013">
        <w:rPr>
          <w:lang w:val="en-US"/>
        </w:rPr>
        <w:t>)</w:t>
      </w:r>
      <w:r w:rsidRPr="00A11ED1">
        <w:rPr>
          <w:lang w:val="en-GB"/>
        </w:rPr>
        <w:t xml:space="preserve"> as well as consolidated sales of </w:t>
      </w:r>
      <w:r w:rsidR="00CA401B">
        <w:rPr>
          <w:lang w:val="en-GB"/>
        </w:rPr>
        <w:t>renewable gas</w:t>
      </w:r>
      <w:r w:rsidR="00D75968">
        <w:rPr>
          <w:lang w:val="en-GB"/>
        </w:rPr>
        <w:t xml:space="preserve"> (RE-gas)</w:t>
      </w:r>
      <w:r w:rsidR="00C25013" w:rsidRPr="00A11ED1">
        <w:rPr>
          <w:lang w:val="en-GB"/>
        </w:rPr>
        <w:t xml:space="preserve"> </w:t>
      </w:r>
      <w:r w:rsidRPr="00A11ED1">
        <w:rPr>
          <w:lang w:val="en-GB"/>
        </w:rPr>
        <w:t>for the calendar year of 202</w:t>
      </w:r>
      <w:r w:rsidRPr="00A11ED1">
        <w:rPr>
          <w:highlight w:val="yellow"/>
          <w:lang w:val="en-GB"/>
        </w:rPr>
        <w:t>x</w:t>
      </w:r>
      <w:r w:rsidRPr="00A11ED1">
        <w:rPr>
          <w:lang w:val="en-GB"/>
        </w:rPr>
        <w:t xml:space="preserve"> </w:t>
      </w:r>
      <w:r w:rsidR="00A11ED1" w:rsidRPr="00A11ED1">
        <w:rPr>
          <w:lang w:val="en-GB"/>
        </w:rPr>
        <w:t>to provide</w:t>
      </w:r>
      <w:r w:rsidRPr="00A11ED1">
        <w:rPr>
          <w:lang w:val="en-GB"/>
        </w:rPr>
        <w:t xml:space="preserve"> limited assurance </w:t>
      </w:r>
      <w:r w:rsidR="00A11ED1" w:rsidRPr="00A11ED1">
        <w:rPr>
          <w:lang w:val="en-GB"/>
        </w:rPr>
        <w:t xml:space="preserve">that the total amount of </w:t>
      </w:r>
      <w:r w:rsidR="00CA401B">
        <w:rPr>
          <w:lang w:val="en-GB"/>
        </w:rPr>
        <w:t>cancelled</w:t>
      </w:r>
      <w:r w:rsidR="00CA401B" w:rsidRPr="00A11ED1">
        <w:rPr>
          <w:lang w:val="en-GB"/>
        </w:rPr>
        <w:t xml:space="preserve"> </w:t>
      </w:r>
      <w:r w:rsidR="00CA401B" w:rsidRPr="00D75968">
        <w:rPr>
          <w:lang w:val="en-US"/>
        </w:rPr>
        <w:t>GOs for RE-gas</w:t>
      </w:r>
      <w:r w:rsidR="00A11ED1" w:rsidRPr="00A11ED1">
        <w:rPr>
          <w:lang w:val="en-GB"/>
        </w:rPr>
        <w:t xml:space="preserve"> as a minimum is equal to the consolidated amount of </w:t>
      </w:r>
      <w:r w:rsidR="00D75968">
        <w:rPr>
          <w:lang w:val="en-GB"/>
        </w:rPr>
        <w:t>RE-gas</w:t>
      </w:r>
      <w:r w:rsidR="00D75968" w:rsidRPr="00A11ED1">
        <w:rPr>
          <w:lang w:val="en-GB"/>
        </w:rPr>
        <w:t xml:space="preserve"> </w:t>
      </w:r>
      <w:r w:rsidR="00A11ED1" w:rsidRPr="00A11ED1">
        <w:rPr>
          <w:lang w:val="en-GB"/>
        </w:rPr>
        <w:t xml:space="preserve">sold. Our assurance report is solely prepared for Management of </w:t>
      </w:r>
      <w:proofErr w:type="spellStart"/>
      <w:r w:rsidR="00A11ED1" w:rsidRPr="00A11ED1">
        <w:rPr>
          <w:highlight w:val="yellow"/>
          <w:lang w:val="en-GB"/>
        </w:rPr>
        <w:t>Typico</w:t>
      </w:r>
      <w:proofErr w:type="spellEnd"/>
      <w:r w:rsidR="00A11ED1" w:rsidRPr="00A11ED1">
        <w:rPr>
          <w:highlight w:val="yellow"/>
          <w:lang w:val="en-GB"/>
        </w:rPr>
        <w:t xml:space="preserve"> A/S</w:t>
      </w:r>
      <w:r w:rsidR="00A11ED1" w:rsidRPr="00A11ED1">
        <w:rPr>
          <w:lang w:val="en-GB"/>
        </w:rPr>
        <w:t xml:space="preserve"> and Energinet.</w:t>
      </w:r>
    </w:p>
    <w:p w14:paraId="1EC975A4" w14:textId="31B2DED5" w:rsidR="00E406EF" w:rsidRPr="00A11ED1" w:rsidRDefault="00E406EF" w:rsidP="00261BFA">
      <w:pPr>
        <w:spacing w:line="240" w:lineRule="auto"/>
        <w:rPr>
          <w:lang w:val="en-GB"/>
        </w:rPr>
      </w:pPr>
    </w:p>
    <w:p w14:paraId="049B425E" w14:textId="2FF5D653" w:rsidR="00A11ED1" w:rsidRPr="00A11ED1" w:rsidRDefault="00A11ED1" w:rsidP="00E406EF">
      <w:pPr>
        <w:spacing w:line="240" w:lineRule="auto"/>
        <w:rPr>
          <w:lang w:val="en-GB"/>
        </w:rPr>
      </w:pPr>
      <w:r w:rsidRPr="00A11ED1">
        <w:rPr>
          <w:lang w:val="en-GB"/>
        </w:rPr>
        <w:t xml:space="preserve">Consolidated amounts of </w:t>
      </w:r>
      <w:r w:rsidR="00D75968">
        <w:rPr>
          <w:lang w:val="en-GB"/>
        </w:rPr>
        <w:t>RE-gas</w:t>
      </w:r>
      <w:r w:rsidR="00D75968" w:rsidRPr="00A11ED1">
        <w:rPr>
          <w:lang w:val="en-GB"/>
        </w:rPr>
        <w:t xml:space="preserve"> </w:t>
      </w:r>
      <w:r w:rsidRPr="00A11ED1">
        <w:rPr>
          <w:lang w:val="en-GB"/>
        </w:rPr>
        <w:t>sold for 202</w:t>
      </w:r>
      <w:r w:rsidRPr="00A11ED1">
        <w:rPr>
          <w:highlight w:val="yellow"/>
          <w:lang w:val="en-GB"/>
        </w:rPr>
        <w:t>x</w:t>
      </w:r>
      <w:r w:rsidRPr="00A11ED1">
        <w:rPr>
          <w:lang w:val="en-GB"/>
        </w:rPr>
        <w:t xml:space="preserve"> amounts to </w:t>
      </w:r>
      <w:r w:rsidRPr="00A11ED1">
        <w:rPr>
          <w:highlight w:val="yellow"/>
          <w:lang w:val="en-GB"/>
        </w:rPr>
        <w:t>xx</w:t>
      </w:r>
      <w:r w:rsidRPr="00A11ED1">
        <w:rPr>
          <w:lang w:val="en-GB"/>
        </w:rPr>
        <w:t xml:space="preserve"> MWh, which reconciles with the consolidated number of </w:t>
      </w:r>
      <w:r w:rsidR="00D75968">
        <w:rPr>
          <w:lang w:val="en-GB"/>
        </w:rPr>
        <w:t>cancelled</w:t>
      </w:r>
      <w:r w:rsidR="00D75968" w:rsidRPr="00A11ED1">
        <w:rPr>
          <w:lang w:val="en-GB"/>
        </w:rPr>
        <w:t xml:space="preserve"> </w:t>
      </w:r>
      <w:r w:rsidRPr="00A11ED1">
        <w:rPr>
          <w:lang w:val="en-GB"/>
        </w:rPr>
        <w:t xml:space="preserve">guarantees of origin amounting to </w:t>
      </w:r>
      <w:r w:rsidRPr="00A11ED1">
        <w:rPr>
          <w:highlight w:val="yellow"/>
          <w:lang w:val="en-GB"/>
        </w:rPr>
        <w:t>xx</w:t>
      </w:r>
      <w:r w:rsidRPr="00A11ED1">
        <w:rPr>
          <w:lang w:val="en-GB"/>
        </w:rPr>
        <w:t xml:space="preserve"> MWh in total. </w:t>
      </w:r>
    </w:p>
    <w:p w14:paraId="32DF96E2" w14:textId="74075E77" w:rsidR="00261BFA" w:rsidRPr="00A11ED1" w:rsidRDefault="00261BFA" w:rsidP="00175860">
      <w:pPr>
        <w:spacing w:line="240" w:lineRule="auto"/>
        <w:rPr>
          <w:lang w:val="en-GB"/>
        </w:rPr>
      </w:pPr>
    </w:p>
    <w:p w14:paraId="46AC2E86" w14:textId="38AFEE5A" w:rsidR="00261BFA" w:rsidRPr="00A11ED1" w:rsidRDefault="00661648" w:rsidP="00175860">
      <w:pPr>
        <w:spacing w:line="240" w:lineRule="auto"/>
        <w:rPr>
          <w:b/>
          <w:lang w:val="en-GB"/>
        </w:rPr>
      </w:pPr>
      <w:proofErr w:type="spellStart"/>
      <w:r>
        <w:rPr>
          <w:b/>
          <w:lang w:val="en-GB"/>
        </w:rPr>
        <w:t>Mananement’s</w:t>
      </w:r>
      <w:proofErr w:type="spellEnd"/>
      <w:r>
        <w:rPr>
          <w:b/>
          <w:lang w:val="en-GB"/>
        </w:rPr>
        <w:t xml:space="preserve"> res</w:t>
      </w:r>
      <w:r w:rsidR="00EA1004">
        <w:rPr>
          <w:b/>
          <w:lang w:val="en-GB"/>
        </w:rPr>
        <w:t>ponsibility</w:t>
      </w:r>
    </w:p>
    <w:p w14:paraId="77E8279A" w14:textId="5AE72480" w:rsidR="008450AD" w:rsidRPr="00184E31" w:rsidRDefault="0027751D" w:rsidP="00184E31">
      <w:pPr>
        <w:spacing w:line="240" w:lineRule="auto"/>
        <w:rPr>
          <w:i/>
          <w:iCs/>
          <w:lang w:val="en-GB"/>
        </w:rPr>
      </w:pPr>
      <w:r>
        <w:rPr>
          <w:lang w:val="en-GB"/>
        </w:rPr>
        <w:t>The m</w:t>
      </w:r>
      <w:r w:rsidR="008450AD" w:rsidRPr="00184E31">
        <w:rPr>
          <w:lang w:val="en-GB"/>
        </w:rPr>
        <w:t xml:space="preserve">anagement of </w:t>
      </w:r>
      <w:proofErr w:type="spellStart"/>
      <w:r w:rsidR="008450AD" w:rsidRPr="00A11ED1">
        <w:rPr>
          <w:highlight w:val="yellow"/>
          <w:lang w:val="en-GB"/>
        </w:rPr>
        <w:t>Typico</w:t>
      </w:r>
      <w:proofErr w:type="spellEnd"/>
      <w:r w:rsidR="008450AD" w:rsidRPr="00A11ED1">
        <w:rPr>
          <w:highlight w:val="yellow"/>
          <w:lang w:val="en-GB"/>
        </w:rPr>
        <w:t xml:space="preserve"> A/S</w:t>
      </w:r>
      <w:r w:rsidR="008450AD" w:rsidRPr="00184E31">
        <w:rPr>
          <w:lang w:val="en-GB"/>
        </w:rPr>
        <w:t xml:space="preserve"> is responsible for registrations regarding sold amounts of </w:t>
      </w:r>
      <w:r w:rsidR="002654F5">
        <w:rPr>
          <w:lang w:val="en-GB"/>
        </w:rPr>
        <w:t>RE-gas</w:t>
      </w:r>
      <w:r w:rsidR="002654F5" w:rsidRPr="00184E31">
        <w:rPr>
          <w:lang w:val="en-GB"/>
        </w:rPr>
        <w:t xml:space="preserve"> </w:t>
      </w:r>
      <w:r w:rsidR="008450AD" w:rsidRPr="00184E31">
        <w:rPr>
          <w:lang w:val="en-GB"/>
        </w:rPr>
        <w:t xml:space="preserve">and regarding </w:t>
      </w:r>
      <w:r w:rsidR="002654F5">
        <w:rPr>
          <w:lang w:val="en-GB"/>
        </w:rPr>
        <w:t>cancelled</w:t>
      </w:r>
      <w:r w:rsidR="002654F5" w:rsidRPr="00184E31">
        <w:rPr>
          <w:lang w:val="en-GB"/>
        </w:rPr>
        <w:t xml:space="preserve"> </w:t>
      </w:r>
      <w:r w:rsidR="008450AD" w:rsidRPr="00184E31">
        <w:rPr>
          <w:lang w:val="en-GB"/>
        </w:rPr>
        <w:t>guarantee</w:t>
      </w:r>
      <w:r w:rsidR="002654F5">
        <w:rPr>
          <w:lang w:val="en-GB"/>
        </w:rPr>
        <w:t>s</w:t>
      </w:r>
      <w:r w:rsidR="008450AD" w:rsidRPr="00184E31">
        <w:rPr>
          <w:lang w:val="en-GB"/>
        </w:rPr>
        <w:t xml:space="preserve"> of origin in </w:t>
      </w:r>
      <w:proofErr w:type="gramStart"/>
      <w:r w:rsidR="006531AD">
        <w:rPr>
          <w:lang w:val="en-GB"/>
        </w:rPr>
        <w:t>Energinet’s</w:t>
      </w:r>
      <w:r w:rsidR="00A95B02">
        <w:rPr>
          <w:lang w:val="en-GB"/>
        </w:rPr>
        <w:t xml:space="preserve"> </w:t>
      </w:r>
      <w:r w:rsidR="008450AD" w:rsidRPr="00184E31">
        <w:rPr>
          <w:lang w:val="en-GB"/>
        </w:rPr>
        <w:t xml:space="preserve"> registry</w:t>
      </w:r>
      <w:proofErr w:type="gramEnd"/>
      <w:r w:rsidR="00A95B02">
        <w:rPr>
          <w:lang w:val="en-GB"/>
        </w:rPr>
        <w:t xml:space="preserve"> of GOs for RE-gas</w:t>
      </w:r>
      <w:r w:rsidR="008450AD" w:rsidRPr="00184E31">
        <w:rPr>
          <w:lang w:val="en-GB"/>
        </w:rPr>
        <w:t xml:space="preserve"> for the calendar year of 202</w:t>
      </w:r>
      <w:r w:rsidR="008450AD" w:rsidRPr="00A11ED1">
        <w:rPr>
          <w:highlight w:val="yellow"/>
          <w:lang w:val="en-GB"/>
        </w:rPr>
        <w:t>x</w:t>
      </w:r>
      <w:r w:rsidR="008450AD" w:rsidRPr="00184E31">
        <w:rPr>
          <w:lang w:val="en-GB"/>
        </w:rPr>
        <w:t xml:space="preserve"> in accordance with “</w:t>
      </w:r>
      <w:r w:rsidR="00E40555" w:rsidRPr="00184E31">
        <w:rPr>
          <w:lang w:val="en-GB"/>
        </w:rPr>
        <w:t>Guid</w:t>
      </w:r>
      <w:r w:rsidR="00E40555">
        <w:rPr>
          <w:lang w:val="en-GB"/>
        </w:rPr>
        <w:t>elines</w:t>
      </w:r>
      <w:r w:rsidR="00E40555" w:rsidRPr="00184E31">
        <w:rPr>
          <w:lang w:val="en-GB"/>
        </w:rPr>
        <w:t xml:space="preserve"> </w:t>
      </w:r>
      <w:r w:rsidR="008450AD" w:rsidRPr="00184E31">
        <w:rPr>
          <w:lang w:val="en-GB"/>
        </w:rPr>
        <w:t xml:space="preserve">for guarantees of origin for renewable </w:t>
      </w:r>
      <w:r w:rsidR="0098673C">
        <w:rPr>
          <w:lang w:val="en-GB"/>
        </w:rPr>
        <w:t>gas</w:t>
      </w:r>
      <w:r w:rsidR="008450AD" w:rsidRPr="00184E31">
        <w:rPr>
          <w:lang w:val="en-GB"/>
        </w:rPr>
        <w:t>”, version 1.1. dated October 1</w:t>
      </w:r>
      <w:r w:rsidR="00184E31" w:rsidRPr="00184E31">
        <w:rPr>
          <w:lang w:val="en-GB"/>
        </w:rPr>
        <w:t>, 2021</w:t>
      </w:r>
      <w:r w:rsidR="008450AD" w:rsidRPr="00184E31">
        <w:rPr>
          <w:lang w:val="en-GB"/>
        </w:rPr>
        <w:t xml:space="preserve">. This responsibility entails </w:t>
      </w:r>
      <w:r w:rsidR="00184E31" w:rsidRPr="00184E31">
        <w:rPr>
          <w:lang w:val="en-GB"/>
        </w:rPr>
        <w:t>designing, implementing, and maintaining internal control over information relevant to the preparation of the registrations in scope that are free from material misstatement, whether due to fraud or error.</w:t>
      </w:r>
    </w:p>
    <w:p w14:paraId="7503A8E0" w14:textId="77777777" w:rsidR="008450AD" w:rsidRPr="00184E31" w:rsidRDefault="008450AD" w:rsidP="00175860">
      <w:pPr>
        <w:spacing w:line="240" w:lineRule="auto"/>
        <w:rPr>
          <w:lang w:val="en-GB"/>
        </w:rPr>
      </w:pPr>
    </w:p>
    <w:p w14:paraId="5949D974" w14:textId="77777777" w:rsidR="008450AD" w:rsidRPr="008450AD" w:rsidRDefault="008450AD" w:rsidP="008450AD">
      <w:pPr>
        <w:spacing w:line="240" w:lineRule="auto"/>
        <w:rPr>
          <w:b/>
          <w:lang w:val="en-GB"/>
        </w:rPr>
      </w:pPr>
      <w:r w:rsidRPr="008450AD">
        <w:rPr>
          <w:b/>
          <w:lang w:val="en-GB"/>
        </w:rPr>
        <w:t xml:space="preserve">Our independence and quality control </w:t>
      </w:r>
    </w:p>
    <w:p w14:paraId="16CFE688" w14:textId="77777777" w:rsidR="008450AD" w:rsidRPr="008450AD" w:rsidRDefault="008450AD" w:rsidP="008450AD">
      <w:pPr>
        <w:spacing w:line="240" w:lineRule="auto"/>
        <w:rPr>
          <w:rFonts w:eastAsia="Georgia" w:cs="Georgia"/>
          <w:szCs w:val="20"/>
          <w:lang w:val="en-GB"/>
        </w:rPr>
      </w:pPr>
      <w:r w:rsidRPr="008450AD">
        <w:rPr>
          <w:rFonts w:eastAsia="Georgia" w:cs="Georgia"/>
          <w:szCs w:val="20"/>
          <w:lang w:val="en-GB"/>
        </w:rPr>
        <w:t>We have complied with the independence requirements and other ethical requirements in the International Ethics Standards Board for Accountants’ International Code of Ethics for Professional Accountants (IESBA Code), which is founded on fundamental principles of integrity, objectivity, professional competence and due care, confidentiality and professional behaviour and ethical requirements applicable in Denmark.</w:t>
      </w:r>
    </w:p>
    <w:p w14:paraId="40CBA98D" w14:textId="77777777" w:rsidR="008450AD" w:rsidRPr="008450AD" w:rsidRDefault="008450AD" w:rsidP="008450AD">
      <w:pPr>
        <w:spacing w:line="240" w:lineRule="auto"/>
        <w:rPr>
          <w:rFonts w:eastAsia="Georgia" w:cs="Georgia"/>
          <w:szCs w:val="20"/>
          <w:lang w:val="en-GB"/>
        </w:rPr>
      </w:pPr>
    </w:p>
    <w:p w14:paraId="5C2F8FFA" w14:textId="2A234A83" w:rsidR="008F2952" w:rsidRPr="008450AD" w:rsidRDefault="005C3879" w:rsidP="008450AD">
      <w:pPr>
        <w:spacing w:line="240" w:lineRule="auto"/>
        <w:rPr>
          <w:rFonts w:eastAsia="Georgia" w:cs="Georgia"/>
          <w:szCs w:val="20"/>
          <w:lang w:val="en-GB"/>
        </w:rPr>
      </w:pPr>
      <w:r w:rsidRPr="005C3879">
        <w:rPr>
          <w:rFonts w:eastAsia="Georgia" w:cs="Georgia"/>
          <w:szCs w:val="20"/>
          <w:highlight w:val="yellow"/>
          <w:lang w:val="en-GB"/>
        </w:rPr>
        <w:t>Assurance provider company name</w:t>
      </w:r>
      <w:r w:rsidRPr="008450AD">
        <w:rPr>
          <w:rFonts w:eastAsia="Georgia" w:cs="Georgia"/>
          <w:szCs w:val="20"/>
          <w:lang w:val="en-GB"/>
        </w:rPr>
        <w:t xml:space="preserve"> </w:t>
      </w:r>
      <w:r w:rsidR="008450AD" w:rsidRPr="008450AD">
        <w:rPr>
          <w:rFonts w:eastAsia="Georgia" w:cs="Georgia"/>
          <w:szCs w:val="20"/>
          <w:lang w:val="en-GB"/>
        </w:rPr>
        <w:t>applies International Standard on Quality Control 1 and accordingly maintains a comprehensive system of quality control including documented policies and procedures regarding compliance with ethical requirements, professional standards, and applicable legal and regulatory requirements. Our work was carried out by an independent multidisciplinary team with experience in sustainability reporting and assurance.</w:t>
      </w:r>
    </w:p>
    <w:p w14:paraId="2F35DC10" w14:textId="77777777" w:rsidR="008450AD" w:rsidRPr="008450AD" w:rsidRDefault="008450AD" w:rsidP="008450AD">
      <w:pPr>
        <w:spacing w:line="240" w:lineRule="auto"/>
        <w:rPr>
          <w:lang w:val="en-GB"/>
        </w:rPr>
      </w:pPr>
    </w:p>
    <w:p w14:paraId="27B348AE" w14:textId="4BB98714" w:rsidR="0053351D" w:rsidRPr="008450AD" w:rsidRDefault="008450AD" w:rsidP="00175860">
      <w:pPr>
        <w:spacing w:line="240" w:lineRule="auto"/>
        <w:rPr>
          <w:b/>
          <w:lang w:val="en-GB"/>
        </w:rPr>
      </w:pPr>
      <w:r w:rsidRPr="008450AD">
        <w:rPr>
          <w:b/>
          <w:lang w:val="en-GB"/>
        </w:rPr>
        <w:t>Our responsibility</w:t>
      </w:r>
    </w:p>
    <w:p w14:paraId="7238FC24" w14:textId="1EF4E851" w:rsidR="008450AD" w:rsidRPr="008450AD" w:rsidRDefault="008450AD" w:rsidP="001D7F37">
      <w:pPr>
        <w:spacing w:line="240" w:lineRule="auto"/>
        <w:rPr>
          <w:lang w:val="en-GB"/>
        </w:rPr>
      </w:pPr>
      <w:r w:rsidRPr="008450AD">
        <w:rPr>
          <w:lang w:val="en-GB"/>
        </w:rPr>
        <w:t>Based on our work it is our responsibility to express a limited assurance conclusion whether</w:t>
      </w:r>
    </w:p>
    <w:p w14:paraId="6C5279BB" w14:textId="77777777" w:rsidR="008450AD" w:rsidRPr="008450AD" w:rsidRDefault="008450AD" w:rsidP="001D7F37">
      <w:pPr>
        <w:spacing w:line="240" w:lineRule="auto"/>
        <w:rPr>
          <w:lang w:val="en-GB"/>
        </w:rPr>
      </w:pPr>
    </w:p>
    <w:p w14:paraId="24175338" w14:textId="6B8E4296" w:rsidR="008450AD" w:rsidRPr="008450AD" w:rsidRDefault="008450AD" w:rsidP="008450AD">
      <w:pPr>
        <w:numPr>
          <w:ilvl w:val="0"/>
          <w:numId w:val="7"/>
        </w:numPr>
        <w:spacing w:line="240" w:lineRule="auto"/>
        <w:rPr>
          <w:rFonts w:ascii="Verdana" w:eastAsia="Times New Roman" w:hAnsi="Verdana" w:cs="Times New Roman"/>
          <w:szCs w:val="18"/>
          <w:lang w:val="en-GB"/>
        </w:rPr>
      </w:pPr>
      <w:proofErr w:type="spellStart"/>
      <w:r w:rsidRPr="00A11ED1">
        <w:rPr>
          <w:szCs w:val="18"/>
          <w:highlight w:val="yellow"/>
          <w:lang w:val="en-GB"/>
        </w:rPr>
        <w:t>Typico</w:t>
      </w:r>
      <w:proofErr w:type="spellEnd"/>
      <w:r w:rsidRPr="00A11ED1">
        <w:rPr>
          <w:highlight w:val="yellow"/>
          <w:lang w:val="en-GB"/>
        </w:rPr>
        <w:t xml:space="preserve"> A/S</w:t>
      </w:r>
      <w:r w:rsidRPr="008450AD">
        <w:rPr>
          <w:lang w:val="en-GB"/>
        </w:rPr>
        <w:t xml:space="preserve"> </w:t>
      </w:r>
      <w:r w:rsidRPr="008450AD">
        <w:rPr>
          <w:szCs w:val="18"/>
          <w:lang w:val="en-GB"/>
        </w:rPr>
        <w:t>for 202</w:t>
      </w:r>
      <w:r w:rsidRPr="00A11ED1">
        <w:rPr>
          <w:szCs w:val="18"/>
          <w:highlight w:val="yellow"/>
          <w:lang w:val="en-GB"/>
        </w:rPr>
        <w:t>x</w:t>
      </w:r>
      <w:r w:rsidRPr="008450AD">
        <w:rPr>
          <w:szCs w:val="18"/>
          <w:lang w:val="en-GB"/>
        </w:rPr>
        <w:t xml:space="preserve"> </w:t>
      </w:r>
      <w:r w:rsidRPr="008450AD">
        <w:rPr>
          <w:szCs w:val="20"/>
          <w:shd w:val="clear" w:color="auto" w:fill="FFFFFF"/>
          <w:lang w:val="en-GB"/>
        </w:rPr>
        <w:t xml:space="preserve">has </w:t>
      </w:r>
      <w:proofErr w:type="gramStart"/>
      <w:r w:rsidR="00A81149">
        <w:rPr>
          <w:szCs w:val="20"/>
          <w:shd w:val="clear" w:color="auto" w:fill="FFFFFF"/>
          <w:lang w:val="en-GB"/>
        </w:rPr>
        <w:t>cancelled</w:t>
      </w:r>
      <w:r w:rsidR="00A81149" w:rsidRPr="008450AD">
        <w:rPr>
          <w:szCs w:val="20"/>
          <w:shd w:val="clear" w:color="auto" w:fill="FFFFFF"/>
          <w:lang w:val="en-GB"/>
        </w:rPr>
        <w:t xml:space="preserve"> </w:t>
      </w:r>
      <w:r w:rsidR="007B04C0">
        <w:rPr>
          <w:szCs w:val="20"/>
          <w:shd w:val="clear" w:color="auto" w:fill="FFFFFF"/>
          <w:lang w:val="en-GB"/>
        </w:rPr>
        <w:t xml:space="preserve"> GOs</w:t>
      </w:r>
      <w:proofErr w:type="gramEnd"/>
      <w:r w:rsidR="007B04C0">
        <w:rPr>
          <w:szCs w:val="20"/>
          <w:shd w:val="clear" w:color="auto" w:fill="FFFFFF"/>
          <w:lang w:val="en-GB"/>
        </w:rPr>
        <w:t xml:space="preserve"> for RE-gas</w:t>
      </w:r>
      <w:r w:rsidRPr="008450AD">
        <w:rPr>
          <w:szCs w:val="20"/>
          <w:shd w:val="clear" w:color="auto" w:fill="FFFFFF"/>
          <w:lang w:val="en-GB"/>
        </w:rPr>
        <w:t xml:space="preserve"> in </w:t>
      </w:r>
      <w:r w:rsidR="007B04C0">
        <w:rPr>
          <w:szCs w:val="20"/>
          <w:shd w:val="clear" w:color="auto" w:fill="FFFFFF"/>
          <w:lang w:val="en-GB"/>
        </w:rPr>
        <w:t>Energinet’s</w:t>
      </w:r>
      <w:r w:rsidRPr="008450AD">
        <w:rPr>
          <w:szCs w:val="20"/>
          <w:shd w:val="clear" w:color="auto" w:fill="FFFFFF"/>
          <w:lang w:val="en-GB"/>
        </w:rPr>
        <w:t xml:space="preserve"> registry in the same amount as </w:t>
      </w:r>
      <w:r w:rsidR="007B04C0">
        <w:rPr>
          <w:szCs w:val="20"/>
          <w:shd w:val="clear" w:color="auto" w:fill="FFFFFF"/>
          <w:lang w:val="en-GB"/>
        </w:rPr>
        <w:t>RE-gas</w:t>
      </w:r>
      <w:r w:rsidR="007B04C0" w:rsidRPr="008450AD">
        <w:rPr>
          <w:szCs w:val="20"/>
          <w:shd w:val="clear" w:color="auto" w:fill="FFFFFF"/>
          <w:lang w:val="en-GB"/>
        </w:rPr>
        <w:t xml:space="preserve"> </w:t>
      </w:r>
      <w:r w:rsidRPr="008450AD">
        <w:rPr>
          <w:szCs w:val="20"/>
          <w:shd w:val="clear" w:color="auto" w:fill="FFFFFF"/>
          <w:lang w:val="en-GB"/>
        </w:rPr>
        <w:t>sold, </w:t>
      </w:r>
    </w:p>
    <w:p w14:paraId="2DE06183" w14:textId="7A6EC50F" w:rsidR="008450AD" w:rsidRPr="008450AD" w:rsidRDefault="008450AD" w:rsidP="008450AD">
      <w:pPr>
        <w:numPr>
          <w:ilvl w:val="0"/>
          <w:numId w:val="7"/>
        </w:numPr>
        <w:spacing w:line="240" w:lineRule="auto"/>
        <w:rPr>
          <w:szCs w:val="18"/>
          <w:lang w:val="en-GB"/>
        </w:rPr>
      </w:pPr>
      <w:r w:rsidRPr="008450AD">
        <w:rPr>
          <w:szCs w:val="18"/>
          <w:lang w:val="en-GB"/>
        </w:rPr>
        <w:t>The account</w:t>
      </w:r>
      <w:r w:rsidR="00885D07">
        <w:rPr>
          <w:szCs w:val="18"/>
          <w:lang w:val="en-GB"/>
        </w:rPr>
        <w:t xml:space="preserve"> </w:t>
      </w:r>
      <w:r w:rsidRPr="008450AD">
        <w:rPr>
          <w:szCs w:val="18"/>
          <w:lang w:val="en-GB"/>
        </w:rPr>
        <w:t xml:space="preserve">holder has prepared a formalised, internal procedure for handling </w:t>
      </w:r>
      <w:r w:rsidR="00885D07">
        <w:rPr>
          <w:szCs w:val="18"/>
          <w:lang w:val="en-GB"/>
        </w:rPr>
        <w:t>GOs for RE-gas</w:t>
      </w:r>
      <w:r w:rsidRPr="008450AD">
        <w:rPr>
          <w:szCs w:val="18"/>
          <w:lang w:val="en-GB"/>
        </w:rPr>
        <w:t xml:space="preserve"> in accordance with the requirements in “</w:t>
      </w:r>
      <w:r w:rsidR="00E40555">
        <w:rPr>
          <w:szCs w:val="18"/>
          <w:lang w:val="en-GB"/>
        </w:rPr>
        <w:t>Guidelines</w:t>
      </w:r>
      <w:r w:rsidR="00E40555" w:rsidRPr="008450AD">
        <w:rPr>
          <w:szCs w:val="18"/>
          <w:lang w:val="en-GB"/>
        </w:rPr>
        <w:t xml:space="preserve"> </w:t>
      </w:r>
      <w:r w:rsidRPr="008450AD">
        <w:rPr>
          <w:szCs w:val="18"/>
          <w:lang w:val="en-GB"/>
        </w:rPr>
        <w:t xml:space="preserve">for guarantees of origin from renewable </w:t>
      </w:r>
      <w:r w:rsidR="003F1C07">
        <w:rPr>
          <w:szCs w:val="18"/>
          <w:lang w:val="en-GB"/>
        </w:rPr>
        <w:t>gas</w:t>
      </w:r>
      <w:r w:rsidRPr="008450AD">
        <w:rPr>
          <w:szCs w:val="18"/>
          <w:lang w:val="en-GB"/>
        </w:rPr>
        <w:t>, version 1.1., dated October 1</w:t>
      </w:r>
      <w:proofErr w:type="gramStart"/>
      <w:r w:rsidRPr="008450AD">
        <w:rPr>
          <w:szCs w:val="18"/>
          <w:lang w:val="en-GB"/>
        </w:rPr>
        <w:t xml:space="preserve"> 2021</w:t>
      </w:r>
      <w:proofErr w:type="gramEnd"/>
      <w:r w:rsidRPr="008450AD">
        <w:rPr>
          <w:szCs w:val="18"/>
          <w:lang w:val="en-GB"/>
        </w:rPr>
        <w:t xml:space="preserve">”. </w:t>
      </w:r>
    </w:p>
    <w:p w14:paraId="1CA61711" w14:textId="77777777" w:rsidR="00775947" w:rsidRPr="00590C10" w:rsidRDefault="00775947" w:rsidP="001D7F37">
      <w:pPr>
        <w:spacing w:line="240" w:lineRule="auto"/>
        <w:rPr>
          <w:color w:val="FF0000"/>
          <w:lang w:val="en-GB"/>
        </w:rPr>
      </w:pPr>
    </w:p>
    <w:p w14:paraId="0C929C6C" w14:textId="77777777" w:rsidR="00184E31" w:rsidRPr="00B57598" w:rsidRDefault="00184E31" w:rsidP="001D7F37">
      <w:pPr>
        <w:spacing w:line="240" w:lineRule="auto"/>
        <w:rPr>
          <w:lang w:val="en-US"/>
        </w:rPr>
      </w:pPr>
      <w:r w:rsidRPr="00B57598">
        <w:rPr>
          <w:lang w:val="en-US"/>
        </w:rPr>
        <w:lastRenderedPageBreak/>
        <w:t xml:space="preserve">We performed a limited assurance engagement in accordance with International Standard on Assurance Engagements 3000 (Revised) ‘Assurance Engagements other than Audits and Reviews of Historical Financial Information’. </w:t>
      </w:r>
    </w:p>
    <w:p w14:paraId="3F638350" w14:textId="77777777" w:rsidR="00184E31" w:rsidRPr="00B57598" w:rsidRDefault="00184E31" w:rsidP="001D7F37">
      <w:pPr>
        <w:spacing w:line="240" w:lineRule="auto"/>
        <w:rPr>
          <w:lang w:val="en-US"/>
        </w:rPr>
      </w:pPr>
    </w:p>
    <w:p w14:paraId="3E0A4CDC" w14:textId="5AF2EF31" w:rsidR="00184E31" w:rsidRPr="00184E31" w:rsidRDefault="00184E31" w:rsidP="001D7F37">
      <w:pPr>
        <w:spacing w:line="240" w:lineRule="auto"/>
        <w:rPr>
          <w:lang w:val="en-GB"/>
        </w:rPr>
      </w:pPr>
      <w:r w:rsidRPr="00184E31">
        <w:rPr>
          <w:lang w:val="en-GB"/>
        </w:rPr>
        <w:t xml:space="preserve">We are required to plan and conduct our work to provide limited assurance that registrations in scope are free of material errors. Further, we have conducted our work in accordance with Energinet’s instruction for review of sales of </w:t>
      </w:r>
      <w:r w:rsidR="006A3755">
        <w:rPr>
          <w:lang w:val="en-GB"/>
        </w:rPr>
        <w:t>RE-gas</w:t>
      </w:r>
      <w:r w:rsidR="006A3755" w:rsidRPr="00184E31">
        <w:rPr>
          <w:lang w:val="en-GB"/>
        </w:rPr>
        <w:t xml:space="preserve"> </w:t>
      </w:r>
      <w:r w:rsidRPr="00184E31">
        <w:rPr>
          <w:lang w:val="en-GB"/>
        </w:rPr>
        <w:t>(“</w:t>
      </w:r>
      <w:r w:rsidR="005C4EB2">
        <w:rPr>
          <w:lang w:val="en-GB"/>
        </w:rPr>
        <w:t xml:space="preserve">Appendix 5: </w:t>
      </w:r>
      <w:r w:rsidR="00B353A4" w:rsidRPr="00B353A4">
        <w:rPr>
          <w:lang w:val="en-US"/>
        </w:rPr>
        <w:t>Audit instruction in relation to guarantees of origin for renewable gas (GOs)</w:t>
      </w:r>
      <w:r w:rsidRPr="00184E31">
        <w:rPr>
          <w:lang w:val="en-GB"/>
        </w:rPr>
        <w:t>” dated October 1, 2021.)</w:t>
      </w:r>
    </w:p>
    <w:p w14:paraId="0A8780CD" w14:textId="77777777" w:rsidR="00184E31" w:rsidRPr="00184E31" w:rsidRDefault="00184E31" w:rsidP="001D7F37">
      <w:pPr>
        <w:spacing w:line="240" w:lineRule="auto"/>
        <w:rPr>
          <w:lang w:val="en-GB"/>
        </w:rPr>
      </w:pPr>
    </w:p>
    <w:p w14:paraId="4486457A" w14:textId="6E2422E6" w:rsidR="00184E31" w:rsidRPr="00640C77" w:rsidRDefault="00184E31" w:rsidP="001D7F37">
      <w:pPr>
        <w:spacing w:line="240" w:lineRule="auto"/>
        <w:rPr>
          <w:lang w:val="en-GB"/>
        </w:rPr>
      </w:pPr>
      <w:r w:rsidRPr="00184E31">
        <w:rPr>
          <w:lang w:val="en-GB"/>
        </w:rPr>
        <w:t xml:space="preserve">A limited assurance engagement is substantially less in scope than a reasonable assurance engagement in relation to both the risk assessment procedures, including an understanding of internal control, and the procedures performed in response to the assessed risks; consequently, the level of assurance obtained in a limited assurance engagement is substantially lower than the assurance that would have been obtained had a reasonable </w:t>
      </w:r>
      <w:r w:rsidRPr="00640C77">
        <w:rPr>
          <w:lang w:val="en-GB"/>
        </w:rPr>
        <w:t>assurance engagement been performed.</w:t>
      </w:r>
    </w:p>
    <w:p w14:paraId="7B6C7351" w14:textId="77777777" w:rsidR="00FF72C0" w:rsidRPr="00640C77" w:rsidRDefault="00FF72C0" w:rsidP="00175860">
      <w:pPr>
        <w:spacing w:line="240" w:lineRule="auto"/>
        <w:rPr>
          <w:lang w:val="en-GB"/>
        </w:rPr>
      </w:pPr>
    </w:p>
    <w:p w14:paraId="59D0A405" w14:textId="493BAE66" w:rsidR="00640C77" w:rsidRPr="00640C77" w:rsidRDefault="00184E31" w:rsidP="00846263">
      <w:pPr>
        <w:spacing w:line="240" w:lineRule="auto"/>
        <w:rPr>
          <w:lang w:val="en-GB"/>
        </w:rPr>
      </w:pPr>
      <w:r w:rsidRPr="00640C77">
        <w:rPr>
          <w:lang w:val="en-GB"/>
        </w:rPr>
        <w:t xml:space="preserve">We have assessed reports of </w:t>
      </w:r>
      <w:proofErr w:type="spellStart"/>
      <w:r w:rsidRPr="00A11ED1">
        <w:rPr>
          <w:highlight w:val="yellow"/>
          <w:lang w:val="en-GB"/>
        </w:rPr>
        <w:t>Typico</w:t>
      </w:r>
      <w:proofErr w:type="spellEnd"/>
      <w:r w:rsidRPr="00A11ED1">
        <w:rPr>
          <w:highlight w:val="yellow"/>
          <w:lang w:val="en-GB"/>
        </w:rPr>
        <w:t xml:space="preserve"> A/S’</w:t>
      </w:r>
      <w:r w:rsidRPr="00640C77">
        <w:rPr>
          <w:lang w:val="en-GB"/>
        </w:rPr>
        <w:t xml:space="preserve"> portfolio management system and adjacent spreadsheets containing specifications regarding individual </w:t>
      </w:r>
      <w:r w:rsidR="00DB0C97">
        <w:rPr>
          <w:lang w:val="en-GB"/>
        </w:rPr>
        <w:t>RE-gas</w:t>
      </w:r>
      <w:r w:rsidR="00DB0C97" w:rsidRPr="00640C77">
        <w:rPr>
          <w:lang w:val="en-GB"/>
        </w:rPr>
        <w:t xml:space="preserve"> </w:t>
      </w:r>
      <w:r w:rsidR="00640C77" w:rsidRPr="00640C77">
        <w:rPr>
          <w:lang w:val="en-GB"/>
        </w:rPr>
        <w:t xml:space="preserve">deliverables for end-users, including amount of MWh per end-user. Further, we have reviewed </w:t>
      </w:r>
      <w:proofErr w:type="spellStart"/>
      <w:r w:rsidR="00640C77" w:rsidRPr="00A11ED1">
        <w:rPr>
          <w:highlight w:val="yellow"/>
          <w:lang w:val="en-GB"/>
        </w:rPr>
        <w:t>Typico</w:t>
      </w:r>
      <w:proofErr w:type="spellEnd"/>
      <w:r w:rsidR="00640C77" w:rsidRPr="00A11ED1">
        <w:rPr>
          <w:highlight w:val="yellow"/>
          <w:lang w:val="en-GB"/>
        </w:rPr>
        <w:t xml:space="preserve"> A/S’</w:t>
      </w:r>
      <w:r w:rsidR="00640C77" w:rsidRPr="00640C77">
        <w:rPr>
          <w:lang w:val="en-GB"/>
        </w:rPr>
        <w:t xml:space="preserve"> consolidated, registered sale of </w:t>
      </w:r>
      <w:r w:rsidR="00AD18D2">
        <w:rPr>
          <w:lang w:val="en-GB"/>
        </w:rPr>
        <w:t>RE-gas</w:t>
      </w:r>
      <w:r w:rsidR="00AD18D2" w:rsidRPr="00640C77">
        <w:rPr>
          <w:lang w:val="en-GB"/>
        </w:rPr>
        <w:t xml:space="preserve"> </w:t>
      </w:r>
      <w:r w:rsidR="00640C77" w:rsidRPr="00640C77">
        <w:rPr>
          <w:lang w:val="en-GB"/>
        </w:rPr>
        <w:t>in 202</w:t>
      </w:r>
      <w:r w:rsidR="00640C77" w:rsidRPr="00A11ED1">
        <w:rPr>
          <w:highlight w:val="yellow"/>
          <w:lang w:val="en-GB"/>
        </w:rPr>
        <w:t>x</w:t>
      </w:r>
      <w:r w:rsidR="00640C77" w:rsidRPr="00640C77">
        <w:rPr>
          <w:lang w:val="en-GB"/>
        </w:rPr>
        <w:t xml:space="preserve"> and reconciled it to an account statement from </w:t>
      </w:r>
      <w:proofErr w:type="spellStart"/>
      <w:r w:rsidR="00640C77" w:rsidRPr="00A11ED1">
        <w:rPr>
          <w:highlight w:val="yellow"/>
          <w:lang w:val="en-GB"/>
        </w:rPr>
        <w:t>Typico</w:t>
      </w:r>
      <w:proofErr w:type="spellEnd"/>
      <w:r w:rsidR="00640C77" w:rsidRPr="00A11ED1">
        <w:rPr>
          <w:highlight w:val="yellow"/>
          <w:lang w:val="en-GB"/>
        </w:rPr>
        <w:t xml:space="preserve"> A/S’</w:t>
      </w:r>
      <w:r w:rsidR="00640C77" w:rsidRPr="00640C77">
        <w:rPr>
          <w:lang w:val="en-GB"/>
        </w:rPr>
        <w:t xml:space="preserve"> account in Energinet’s registry until 31 December of 202</w:t>
      </w:r>
      <w:r w:rsidR="00640C77" w:rsidRPr="00A11ED1">
        <w:rPr>
          <w:highlight w:val="yellow"/>
          <w:lang w:val="en-GB"/>
        </w:rPr>
        <w:t>x</w:t>
      </w:r>
      <w:r w:rsidR="00640C77" w:rsidRPr="00640C77">
        <w:rPr>
          <w:lang w:val="en-GB"/>
        </w:rPr>
        <w:t xml:space="preserve"> including confirmations of requested and completed </w:t>
      </w:r>
      <w:r w:rsidR="000C42A4">
        <w:rPr>
          <w:lang w:val="en-GB"/>
        </w:rPr>
        <w:t>cancellation of GOs for RE-gas</w:t>
      </w:r>
      <w:r w:rsidR="00640C77" w:rsidRPr="00640C77">
        <w:rPr>
          <w:lang w:val="en-GB"/>
        </w:rPr>
        <w:t xml:space="preserve"> for the period. The assurance engagement was performed by a multi-disciplinary team of both accountants and engineers.</w:t>
      </w:r>
    </w:p>
    <w:p w14:paraId="5EF34938" w14:textId="77777777" w:rsidR="00640C77" w:rsidRPr="00640C77" w:rsidRDefault="00640C77" w:rsidP="00846263">
      <w:pPr>
        <w:spacing w:line="240" w:lineRule="auto"/>
        <w:rPr>
          <w:lang w:val="en-GB"/>
        </w:rPr>
      </w:pPr>
    </w:p>
    <w:p w14:paraId="07436198" w14:textId="70112CE9" w:rsidR="007A0CE3" w:rsidRPr="00590C10" w:rsidRDefault="001F19E2" w:rsidP="00175860">
      <w:pPr>
        <w:spacing w:line="240" w:lineRule="auto"/>
        <w:rPr>
          <w:lang w:val="en-GB"/>
        </w:rPr>
      </w:pPr>
      <w:r w:rsidRPr="00590C10">
        <w:rPr>
          <w:b/>
          <w:lang w:val="en-GB"/>
        </w:rPr>
        <w:t>Conclusion with limited assurance</w:t>
      </w:r>
    </w:p>
    <w:p w14:paraId="0C437DFF" w14:textId="0433EBD5" w:rsidR="000F0D65" w:rsidRPr="008450AD" w:rsidRDefault="00590C10" w:rsidP="00EE525E">
      <w:pPr>
        <w:spacing w:line="240" w:lineRule="auto"/>
        <w:rPr>
          <w:lang w:val="en-GB"/>
        </w:rPr>
      </w:pPr>
      <w:r w:rsidRPr="008450AD">
        <w:rPr>
          <w:lang w:val="en-GB"/>
        </w:rPr>
        <w:t>Based on the procedures we performed and the evidence we obtained, nothing has come to our attention that causes us not to believe that</w:t>
      </w:r>
    </w:p>
    <w:p w14:paraId="60DF498B" w14:textId="77777777" w:rsidR="00590C10" w:rsidRPr="008450AD" w:rsidRDefault="00590C10" w:rsidP="00EE525E">
      <w:pPr>
        <w:spacing w:line="240" w:lineRule="auto"/>
        <w:rPr>
          <w:lang w:val="en-GB"/>
        </w:rPr>
      </w:pPr>
    </w:p>
    <w:p w14:paraId="14454D92" w14:textId="0E1B68B8" w:rsidR="004F7ABA" w:rsidRPr="008450AD" w:rsidRDefault="00590C10" w:rsidP="00EE525E">
      <w:pPr>
        <w:numPr>
          <w:ilvl w:val="0"/>
          <w:numId w:val="7"/>
        </w:numPr>
        <w:spacing w:line="240" w:lineRule="auto"/>
        <w:rPr>
          <w:rFonts w:ascii="Verdana" w:eastAsia="Times New Roman" w:hAnsi="Verdana" w:cs="Times New Roman"/>
          <w:szCs w:val="18"/>
          <w:lang w:val="en-GB"/>
        </w:rPr>
      </w:pPr>
      <w:proofErr w:type="spellStart"/>
      <w:r w:rsidRPr="00A11ED1">
        <w:rPr>
          <w:szCs w:val="18"/>
          <w:highlight w:val="yellow"/>
          <w:lang w:val="en-GB"/>
        </w:rPr>
        <w:t>Typico</w:t>
      </w:r>
      <w:proofErr w:type="spellEnd"/>
      <w:r w:rsidR="00C779A7" w:rsidRPr="00A11ED1">
        <w:rPr>
          <w:highlight w:val="yellow"/>
          <w:lang w:val="en-GB"/>
        </w:rPr>
        <w:t xml:space="preserve"> A/S</w:t>
      </w:r>
      <w:r w:rsidR="00353606" w:rsidRPr="008450AD">
        <w:rPr>
          <w:lang w:val="en-GB"/>
        </w:rPr>
        <w:t xml:space="preserve"> </w:t>
      </w:r>
      <w:r w:rsidR="004F7ABA" w:rsidRPr="008450AD">
        <w:rPr>
          <w:szCs w:val="18"/>
          <w:lang w:val="en-GB"/>
        </w:rPr>
        <w:t>for 20</w:t>
      </w:r>
      <w:r w:rsidR="00B12472" w:rsidRPr="008450AD">
        <w:rPr>
          <w:szCs w:val="18"/>
          <w:lang w:val="en-GB"/>
        </w:rPr>
        <w:t>2</w:t>
      </w:r>
      <w:r w:rsidRPr="00A11ED1">
        <w:rPr>
          <w:szCs w:val="18"/>
          <w:highlight w:val="yellow"/>
          <w:lang w:val="en-GB"/>
        </w:rPr>
        <w:t>x</w:t>
      </w:r>
      <w:r w:rsidR="004F7ABA" w:rsidRPr="008450AD">
        <w:rPr>
          <w:szCs w:val="18"/>
          <w:lang w:val="en-GB"/>
        </w:rPr>
        <w:t xml:space="preserve"> </w:t>
      </w:r>
      <w:r w:rsidRPr="008450AD">
        <w:rPr>
          <w:szCs w:val="20"/>
          <w:shd w:val="clear" w:color="auto" w:fill="FFFFFF"/>
          <w:lang w:val="en-GB"/>
        </w:rPr>
        <w:t xml:space="preserve">has </w:t>
      </w:r>
      <w:r w:rsidR="003A2180">
        <w:rPr>
          <w:szCs w:val="20"/>
          <w:shd w:val="clear" w:color="auto" w:fill="FFFFFF"/>
          <w:lang w:val="en-GB"/>
        </w:rPr>
        <w:t>cancelled GOs for RE-gas</w:t>
      </w:r>
      <w:r w:rsidRPr="008450AD">
        <w:rPr>
          <w:szCs w:val="20"/>
          <w:shd w:val="clear" w:color="auto" w:fill="FFFFFF"/>
          <w:lang w:val="en-GB"/>
        </w:rPr>
        <w:t xml:space="preserve"> </w:t>
      </w:r>
      <w:r w:rsidR="005366BE" w:rsidRPr="008450AD">
        <w:rPr>
          <w:szCs w:val="20"/>
          <w:shd w:val="clear" w:color="auto" w:fill="FFFFFF"/>
          <w:lang w:val="en-GB"/>
        </w:rPr>
        <w:t>i</w:t>
      </w:r>
      <w:r w:rsidRPr="008450AD">
        <w:rPr>
          <w:szCs w:val="20"/>
          <w:shd w:val="clear" w:color="auto" w:fill="FFFFFF"/>
          <w:lang w:val="en-GB"/>
        </w:rPr>
        <w:t xml:space="preserve">n the </w:t>
      </w:r>
      <w:r w:rsidR="005366BE" w:rsidRPr="008450AD">
        <w:rPr>
          <w:szCs w:val="20"/>
          <w:shd w:val="clear" w:color="auto" w:fill="FFFFFF"/>
          <w:lang w:val="en-GB"/>
        </w:rPr>
        <w:t>regist</w:t>
      </w:r>
      <w:r w:rsidRPr="008450AD">
        <w:rPr>
          <w:szCs w:val="20"/>
          <w:shd w:val="clear" w:color="auto" w:fill="FFFFFF"/>
          <w:lang w:val="en-GB"/>
        </w:rPr>
        <w:t xml:space="preserve">ry in the same amount as </w:t>
      </w:r>
      <w:r w:rsidR="003A2180">
        <w:rPr>
          <w:szCs w:val="20"/>
          <w:shd w:val="clear" w:color="auto" w:fill="FFFFFF"/>
          <w:lang w:val="en-GB"/>
        </w:rPr>
        <w:t>RE-gas</w:t>
      </w:r>
      <w:r w:rsidR="003A2180" w:rsidRPr="008450AD">
        <w:rPr>
          <w:szCs w:val="20"/>
          <w:shd w:val="clear" w:color="auto" w:fill="FFFFFF"/>
          <w:lang w:val="en-GB"/>
        </w:rPr>
        <w:t xml:space="preserve"> </w:t>
      </w:r>
      <w:r w:rsidRPr="008450AD">
        <w:rPr>
          <w:szCs w:val="20"/>
          <w:shd w:val="clear" w:color="auto" w:fill="FFFFFF"/>
          <w:lang w:val="en-GB"/>
        </w:rPr>
        <w:t>sold</w:t>
      </w:r>
      <w:r w:rsidR="005366BE" w:rsidRPr="008450AD">
        <w:rPr>
          <w:szCs w:val="20"/>
          <w:shd w:val="clear" w:color="auto" w:fill="FFFFFF"/>
          <w:lang w:val="en-GB"/>
        </w:rPr>
        <w:t>, </w:t>
      </w:r>
    </w:p>
    <w:p w14:paraId="4FD49686" w14:textId="02BEC0C3" w:rsidR="00590C10" w:rsidRPr="008450AD" w:rsidRDefault="00590C10" w:rsidP="00EE525E">
      <w:pPr>
        <w:numPr>
          <w:ilvl w:val="0"/>
          <w:numId w:val="7"/>
        </w:numPr>
        <w:spacing w:line="240" w:lineRule="auto"/>
        <w:rPr>
          <w:szCs w:val="18"/>
          <w:lang w:val="en-GB"/>
        </w:rPr>
      </w:pPr>
      <w:r w:rsidRPr="008450AD">
        <w:rPr>
          <w:szCs w:val="18"/>
          <w:lang w:val="en-GB"/>
        </w:rPr>
        <w:t>The account</w:t>
      </w:r>
      <w:r w:rsidR="003A2180">
        <w:rPr>
          <w:szCs w:val="18"/>
          <w:lang w:val="en-GB"/>
        </w:rPr>
        <w:t xml:space="preserve"> </w:t>
      </w:r>
      <w:r w:rsidRPr="008450AD">
        <w:rPr>
          <w:szCs w:val="18"/>
          <w:lang w:val="en-GB"/>
        </w:rPr>
        <w:t xml:space="preserve">holder has prepared a formalised, internal procedure for handling </w:t>
      </w:r>
      <w:r w:rsidR="00D53DA6">
        <w:rPr>
          <w:szCs w:val="18"/>
          <w:lang w:val="en-GB"/>
        </w:rPr>
        <w:t>GOs for RE-gas</w:t>
      </w:r>
      <w:r w:rsidRPr="008450AD">
        <w:rPr>
          <w:szCs w:val="18"/>
          <w:lang w:val="en-GB"/>
        </w:rPr>
        <w:t xml:space="preserve"> in accordance with the requirements in “</w:t>
      </w:r>
      <w:r w:rsidR="00D53DA6" w:rsidRPr="008450AD">
        <w:rPr>
          <w:szCs w:val="18"/>
          <w:lang w:val="en-GB"/>
        </w:rPr>
        <w:t>Guid</w:t>
      </w:r>
      <w:r w:rsidR="00D53DA6">
        <w:rPr>
          <w:szCs w:val="18"/>
          <w:lang w:val="en-GB"/>
        </w:rPr>
        <w:t>elines</w:t>
      </w:r>
      <w:r w:rsidR="00D53DA6" w:rsidRPr="008450AD">
        <w:rPr>
          <w:szCs w:val="18"/>
          <w:lang w:val="en-GB"/>
        </w:rPr>
        <w:t xml:space="preserve"> </w:t>
      </w:r>
      <w:r w:rsidRPr="008450AD">
        <w:rPr>
          <w:szCs w:val="18"/>
          <w:lang w:val="en-GB"/>
        </w:rPr>
        <w:t xml:space="preserve">for guarantees of origin for </w:t>
      </w:r>
      <w:r w:rsidR="008450AD" w:rsidRPr="008450AD">
        <w:rPr>
          <w:szCs w:val="18"/>
          <w:lang w:val="en-GB"/>
        </w:rPr>
        <w:t xml:space="preserve">renewable </w:t>
      </w:r>
      <w:r w:rsidR="003667C5">
        <w:rPr>
          <w:szCs w:val="18"/>
          <w:lang w:val="en-GB"/>
        </w:rPr>
        <w:t>gas</w:t>
      </w:r>
      <w:r w:rsidR="008450AD" w:rsidRPr="008450AD">
        <w:rPr>
          <w:szCs w:val="18"/>
          <w:lang w:val="en-GB"/>
        </w:rPr>
        <w:t>, version 1.1., dated October 1</w:t>
      </w:r>
      <w:proofErr w:type="gramStart"/>
      <w:r w:rsidR="008450AD" w:rsidRPr="008450AD">
        <w:rPr>
          <w:szCs w:val="18"/>
          <w:lang w:val="en-GB"/>
        </w:rPr>
        <w:t xml:space="preserve"> 2021</w:t>
      </w:r>
      <w:proofErr w:type="gramEnd"/>
      <w:r w:rsidR="008450AD" w:rsidRPr="008450AD">
        <w:rPr>
          <w:szCs w:val="18"/>
          <w:lang w:val="en-GB"/>
        </w:rPr>
        <w:t>”.</w:t>
      </w:r>
      <w:r w:rsidRPr="008450AD">
        <w:rPr>
          <w:szCs w:val="18"/>
          <w:lang w:val="en-GB"/>
        </w:rPr>
        <w:t xml:space="preserve"> </w:t>
      </w:r>
    </w:p>
    <w:p w14:paraId="21E79BBD" w14:textId="40F19458" w:rsidR="007A0CE3" w:rsidRPr="008450AD" w:rsidRDefault="007A0CE3" w:rsidP="00175860">
      <w:pPr>
        <w:spacing w:line="240" w:lineRule="auto"/>
        <w:rPr>
          <w:lang w:val="en-GB"/>
        </w:rPr>
      </w:pPr>
    </w:p>
    <w:p w14:paraId="0ED4C63E" w14:textId="77777777" w:rsidR="005366BE" w:rsidRPr="00590C10" w:rsidRDefault="005366BE" w:rsidP="00175860">
      <w:pPr>
        <w:spacing w:line="240" w:lineRule="auto"/>
        <w:rPr>
          <w:lang w:val="en-GB"/>
        </w:rPr>
      </w:pPr>
    </w:p>
    <w:p w14:paraId="4D4E5429" w14:textId="4F585A2E" w:rsidR="007A0CE3" w:rsidRPr="00A11ED1" w:rsidRDefault="001F19E2" w:rsidP="00175860">
      <w:pPr>
        <w:spacing w:line="240" w:lineRule="auto"/>
        <w:rPr>
          <w:highlight w:val="yellow"/>
          <w:lang w:val="en-GB"/>
        </w:rPr>
      </w:pPr>
      <w:proofErr w:type="gramStart"/>
      <w:r w:rsidRPr="00A11ED1">
        <w:rPr>
          <w:highlight w:val="yellow"/>
          <w:lang w:val="en-GB"/>
        </w:rPr>
        <w:t>Copenhagen</w:t>
      </w:r>
      <w:r w:rsidR="007A0CE3" w:rsidRPr="00A11ED1">
        <w:rPr>
          <w:highlight w:val="yellow"/>
          <w:lang w:val="en-GB"/>
        </w:rPr>
        <w:t xml:space="preserve">, </w:t>
      </w:r>
      <w:r w:rsidRPr="00A11ED1">
        <w:rPr>
          <w:highlight w:val="yellow"/>
          <w:lang w:val="en-GB"/>
        </w:rPr>
        <w:t xml:space="preserve"> xx</w:t>
      </w:r>
      <w:proofErr w:type="gramEnd"/>
      <w:r w:rsidR="002A4565" w:rsidRPr="00A11ED1">
        <w:rPr>
          <w:highlight w:val="yellow"/>
          <w:lang w:val="en-GB"/>
        </w:rPr>
        <w:t xml:space="preserve"> </w:t>
      </w:r>
      <w:r w:rsidRPr="00A11ED1">
        <w:rPr>
          <w:highlight w:val="yellow"/>
          <w:lang w:val="en-GB"/>
        </w:rPr>
        <w:t>[month]</w:t>
      </w:r>
      <w:r w:rsidR="007A0CE3" w:rsidRPr="00A11ED1">
        <w:rPr>
          <w:highlight w:val="yellow"/>
          <w:lang w:val="en-GB"/>
        </w:rPr>
        <w:t xml:space="preserve"> 20</w:t>
      </w:r>
      <w:r w:rsidR="000D7DEF" w:rsidRPr="00A11ED1">
        <w:rPr>
          <w:highlight w:val="yellow"/>
          <w:lang w:val="en-GB"/>
        </w:rPr>
        <w:t>2</w:t>
      </w:r>
      <w:r w:rsidRPr="00A11ED1">
        <w:rPr>
          <w:highlight w:val="yellow"/>
          <w:lang w:val="en-GB"/>
        </w:rPr>
        <w:t>x</w:t>
      </w:r>
    </w:p>
    <w:p w14:paraId="50FF9311" w14:textId="17115A24" w:rsidR="007A0CE3" w:rsidRPr="00A11ED1" w:rsidRDefault="001F19E2" w:rsidP="00175860">
      <w:pPr>
        <w:spacing w:line="240" w:lineRule="auto"/>
        <w:rPr>
          <w:highlight w:val="yellow"/>
          <w:lang w:val="en-GB"/>
        </w:rPr>
      </w:pPr>
      <w:r w:rsidRPr="00A11ED1">
        <w:rPr>
          <w:b/>
          <w:highlight w:val="yellow"/>
          <w:lang w:val="en-GB"/>
        </w:rPr>
        <w:t>[Assurance provider company name]</w:t>
      </w:r>
    </w:p>
    <w:p w14:paraId="30312AA6" w14:textId="13D6837D" w:rsidR="007A0CE3" w:rsidRPr="00590C10" w:rsidRDefault="000F0D65" w:rsidP="00175860">
      <w:pPr>
        <w:spacing w:line="240" w:lineRule="auto"/>
        <w:rPr>
          <w:lang w:val="en-GB"/>
        </w:rPr>
      </w:pPr>
      <w:r w:rsidRPr="00A11ED1">
        <w:rPr>
          <w:highlight w:val="yellow"/>
          <w:lang w:val="en-GB"/>
        </w:rPr>
        <w:t xml:space="preserve">CVR nr. </w:t>
      </w:r>
      <w:proofErr w:type="spellStart"/>
      <w:r w:rsidR="001F19E2" w:rsidRPr="00A11ED1">
        <w:rPr>
          <w:highlight w:val="yellow"/>
          <w:lang w:val="en-GB"/>
        </w:rPr>
        <w:t>xxxx</w:t>
      </w:r>
      <w:proofErr w:type="spellEnd"/>
      <w:r w:rsidR="001F19E2" w:rsidRPr="00A11ED1">
        <w:rPr>
          <w:highlight w:val="yellow"/>
          <w:lang w:val="en-GB"/>
        </w:rPr>
        <w:t xml:space="preserve"> </w:t>
      </w:r>
      <w:proofErr w:type="spellStart"/>
      <w:r w:rsidR="001F19E2" w:rsidRPr="00A11ED1">
        <w:rPr>
          <w:highlight w:val="yellow"/>
          <w:lang w:val="en-GB"/>
        </w:rPr>
        <w:t>xxxx</w:t>
      </w:r>
      <w:proofErr w:type="spellEnd"/>
    </w:p>
    <w:p w14:paraId="693DF58C" w14:textId="77777777" w:rsidR="007A0CE3" w:rsidRPr="00590C10" w:rsidRDefault="007A0CE3" w:rsidP="00175860">
      <w:pPr>
        <w:spacing w:line="240" w:lineRule="auto"/>
        <w:rPr>
          <w:lang w:val="en-GB"/>
        </w:rPr>
      </w:pPr>
    </w:p>
    <w:p w14:paraId="0901F47F" w14:textId="13C5FCF0" w:rsidR="000F0D65" w:rsidRPr="00590C10" w:rsidRDefault="000F0D65" w:rsidP="00175860">
      <w:pPr>
        <w:spacing w:line="240" w:lineRule="auto"/>
        <w:rPr>
          <w:lang w:val="en-GB"/>
        </w:rPr>
      </w:pPr>
    </w:p>
    <w:p w14:paraId="2D853072" w14:textId="74A2941C" w:rsidR="005366BE" w:rsidRPr="00590C10" w:rsidRDefault="005366BE" w:rsidP="00175860">
      <w:pPr>
        <w:spacing w:line="240" w:lineRule="auto"/>
        <w:rPr>
          <w:lang w:val="en-GB"/>
        </w:rPr>
      </w:pPr>
    </w:p>
    <w:p w14:paraId="46C9A56D" w14:textId="45CB3391" w:rsidR="005366BE" w:rsidRPr="00590C10" w:rsidRDefault="005366BE" w:rsidP="00175860">
      <w:pPr>
        <w:spacing w:line="240" w:lineRule="auto"/>
        <w:rPr>
          <w:lang w:val="en-GB"/>
        </w:rPr>
      </w:pPr>
    </w:p>
    <w:p w14:paraId="2B0D708C" w14:textId="6DE619C2" w:rsidR="000F0D65" w:rsidRPr="00590C10" w:rsidRDefault="000F0D65" w:rsidP="00175860">
      <w:pPr>
        <w:spacing w:line="240" w:lineRule="auto"/>
        <w:rPr>
          <w:lang w:val="en-GB"/>
        </w:rPr>
      </w:pPr>
    </w:p>
    <w:p w14:paraId="3DA37E7B" w14:textId="77777777" w:rsidR="007A0CE3" w:rsidRPr="00590C10" w:rsidRDefault="007A0CE3" w:rsidP="00175860">
      <w:pPr>
        <w:spacing w:line="240" w:lineRule="auto"/>
        <w:rPr>
          <w:lang w:val="en-GB"/>
        </w:rPr>
      </w:pPr>
    </w:p>
    <w:p w14:paraId="4438036F" w14:textId="72A665F6" w:rsidR="006F6FDE" w:rsidRPr="00590C10" w:rsidRDefault="001F19E2" w:rsidP="00175860">
      <w:pPr>
        <w:spacing w:line="240" w:lineRule="auto"/>
        <w:rPr>
          <w:lang w:val="en-GB"/>
        </w:rPr>
      </w:pPr>
      <w:r w:rsidRPr="00A11ED1">
        <w:rPr>
          <w:highlight w:val="yellow"/>
          <w:lang w:val="en-GB"/>
        </w:rPr>
        <w:t>[name]</w:t>
      </w:r>
      <w:r w:rsidR="00C779A7" w:rsidRPr="00590C10">
        <w:rPr>
          <w:lang w:val="en-GB"/>
        </w:rPr>
        <w:tab/>
      </w:r>
      <w:r w:rsidR="00FB73BB" w:rsidRPr="00590C10">
        <w:rPr>
          <w:lang w:val="en-GB"/>
        </w:rPr>
        <w:tab/>
      </w:r>
      <w:r w:rsidR="00FB73BB" w:rsidRPr="00590C10">
        <w:rPr>
          <w:lang w:val="en-GB"/>
        </w:rPr>
        <w:tab/>
      </w:r>
      <w:r w:rsidR="00FB73BB" w:rsidRPr="00590C10">
        <w:rPr>
          <w:lang w:val="en-GB"/>
        </w:rPr>
        <w:tab/>
      </w:r>
      <w:r w:rsidR="00FB73BB" w:rsidRPr="00590C10">
        <w:rPr>
          <w:lang w:val="en-GB"/>
        </w:rPr>
        <w:tab/>
      </w:r>
    </w:p>
    <w:p w14:paraId="33E88F7E" w14:textId="199743DF" w:rsidR="007A0CE3" w:rsidRPr="00590C10" w:rsidRDefault="001F19E2" w:rsidP="00175860">
      <w:pPr>
        <w:spacing w:line="240" w:lineRule="auto"/>
        <w:rPr>
          <w:lang w:val="en-GB"/>
        </w:rPr>
      </w:pPr>
      <w:r w:rsidRPr="00590C10">
        <w:rPr>
          <w:lang w:val="en-GB"/>
        </w:rPr>
        <w:t>S</w:t>
      </w:r>
      <w:r w:rsidR="007A0CE3" w:rsidRPr="00590C10">
        <w:rPr>
          <w:lang w:val="en-GB"/>
        </w:rPr>
        <w:t>tat</w:t>
      </w:r>
      <w:r w:rsidRPr="00590C10">
        <w:rPr>
          <w:lang w:val="en-GB"/>
        </w:rPr>
        <w:t xml:space="preserve">e </w:t>
      </w:r>
      <w:r w:rsidR="00A11ED1" w:rsidRPr="00590C10">
        <w:rPr>
          <w:lang w:val="en-GB"/>
        </w:rPr>
        <w:t>authorised</w:t>
      </w:r>
      <w:r w:rsidR="007A0CE3" w:rsidRPr="00590C10">
        <w:rPr>
          <w:lang w:val="en-GB"/>
        </w:rPr>
        <w:t xml:space="preserve"> </w:t>
      </w:r>
      <w:r w:rsidRPr="00590C10">
        <w:rPr>
          <w:lang w:val="en-GB"/>
        </w:rPr>
        <w:t>accountant</w:t>
      </w:r>
    </w:p>
    <w:sectPr w:rsidR="007A0CE3" w:rsidRPr="00590C10" w:rsidSect="001405C4">
      <w:headerReference w:type="default" r:id="rId9"/>
      <w:footerReference w:type="default" r:id="rId10"/>
      <w:pgSz w:w="11906" w:h="16838" w:code="9"/>
      <w:pgMar w:top="2552" w:right="709" w:bottom="1701" w:left="33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2600" w14:textId="77777777" w:rsidR="008E55AF" w:rsidRPr="00CE3B4B" w:rsidRDefault="008E55AF">
      <w:r w:rsidRPr="00CE3B4B">
        <w:separator/>
      </w:r>
    </w:p>
  </w:endnote>
  <w:endnote w:type="continuationSeparator" w:id="0">
    <w:p w14:paraId="284AF0F5" w14:textId="77777777" w:rsidR="008E55AF" w:rsidRPr="00CE3B4B" w:rsidRDefault="008E55AF">
      <w:r w:rsidRPr="00CE3B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965B" w14:textId="77777777" w:rsidR="006B0921" w:rsidRPr="00CE3B4B" w:rsidRDefault="006B0921" w:rsidP="00C87799">
    <w:r w:rsidRPr="00CE3B4B">
      <w:fldChar w:fldCharType="begin"/>
    </w:r>
    <w:r w:rsidRPr="00CE3B4B">
      <w:instrText xml:space="preserve"> PAGE  \* MERGEFORMAT </w:instrText>
    </w:r>
    <w:r w:rsidRPr="00CE3B4B">
      <w:fldChar w:fldCharType="separate"/>
    </w:r>
    <w:r w:rsidR="002D26DC">
      <w:rPr>
        <w:noProof/>
      </w:rPr>
      <w:t>2</w:t>
    </w:r>
    <w:r w:rsidRPr="00CE3B4B">
      <w:fldChar w:fldCharType="end"/>
    </w:r>
    <w:r w:rsidRPr="00CE3B4B">
      <w:t xml:space="preserve"> </w:t>
    </w:r>
    <w:bookmarkStart w:id="1" w:name="CaptionPagesOf"/>
    <w:r>
      <w:t>af</w:t>
    </w:r>
    <w:bookmarkEnd w:id="1"/>
    <w:r w:rsidRPr="00CE3B4B">
      <w:t xml:space="preserve"> </w:t>
    </w:r>
    <w:fldSimple w:instr=" NumPages  \* MERGEFORMAT ">
      <w:r w:rsidR="002D26DC">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9100" w14:textId="77777777" w:rsidR="008E55AF" w:rsidRPr="00CE3B4B" w:rsidRDefault="008E55AF">
      <w:r w:rsidRPr="00CE3B4B">
        <w:separator/>
      </w:r>
    </w:p>
  </w:footnote>
  <w:footnote w:type="continuationSeparator" w:id="0">
    <w:p w14:paraId="0FE897A7" w14:textId="77777777" w:rsidR="008E55AF" w:rsidRPr="00CE3B4B" w:rsidRDefault="008E55AF">
      <w:r w:rsidRPr="00CE3B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C5E1" w14:textId="4F43B8D1" w:rsidR="006B0921" w:rsidRPr="00CE3B4B" w:rsidRDefault="006B0921">
    <w:pPr>
      <w:pStyle w:val="Sidehoved"/>
    </w:pPr>
  </w:p>
  <w:p w14:paraId="535FFAA4" w14:textId="77777777" w:rsidR="006B0921" w:rsidRPr="00CE3B4B" w:rsidRDefault="006B092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D6B"/>
    <w:multiLevelType w:val="multilevel"/>
    <w:tmpl w:val="AF04DD22"/>
    <w:lvl w:ilvl="0">
      <w:start w:val="1"/>
      <w:numFmt w:val="upperRoman"/>
      <w:lvlText w:val="%1"/>
      <w:lvlJc w:val="left"/>
      <w:pPr>
        <w:tabs>
          <w:tab w:val="num" w:pos="720"/>
        </w:tabs>
        <w:ind w:left="720" w:hanging="720"/>
      </w:pPr>
    </w:lvl>
    <w:lvl w:ilvl="1">
      <w:start w:val="1"/>
      <w:numFmt w:val="none"/>
      <w:lvlText w:val=""/>
      <w:lvlJc w:val="left"/>
      <w:pPr>
        <w:tabs>
          <w:tab w:val="num" w:pos="360"/>
        </w:tabs>
        <w:ind w:left="0" w:firstLine="0"/>
      </w:pPr>
    </w:lvl>
    <w:lvl w:ilvl="2">
      <w:start w:val="1"/>
      <w:numFmt w:val="none"/>
      <w:lvlText w:val="%3"/>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decimal"/>
      <w:lvlText w:val="%6"/>
      <w:lvlJc w:val="left"/>
      <w:pPr>
        <w:tabs>
          <w:tab w:val="num" w:pos="720"/>
        </w:tabs>
        <w:ind w:left="720" w:hanging="720"/>
      </w:pPr>
    </w:lvl>
    <w:lvl w:ilvl="6">
      <w:start w:val="1"/>
      <w:numFmt w:val="decimal"/>
      <w:pStyle w:val="Overskrift7"/>
      <w:lvlText w:val="%6.%7"/>
      <w:lvlJc w:val="left"/>
      <w:pPr>
        <w:tabs>
          <w:tab w:val="num" w:pos="720"/>
        </w:tabs>
        <w:ind w:left="720" w:hanging="720"/>
      </w:pPr>
    </w:lvl>
    <w:lvl w:ilvl="7">
      <w:start w:val="1"/>
      <w:numFmt w:val="decimal"/>
      <w:pStyle w:val="Overskrift8"/>
      <w:lvlText w:val="%6.%7.%8"/>
      <w:lvlJc w:val="left"/>
      <w:pPr>
        <w:tabs>
          <w:tab w:val="num" w:pos="720"/>
        </w:tabs>
        <w:ind w:left="720" w:hanging="720"/>
      </w:pPr>
    </w:lvl>
    <w:lvl w:ilvl="8">
      <w:start w:val="1"/>
      <w:numFmt w:val="decimal"/>
      <w:pStyle w:val="Overskrift9"/>
      <w:lvlText w:val="%6.%7.%8.%9"/>
      <w:lvlJc w:val="left"/>
      <w:pPr>
        <w:tabs>
          <w:tab w:val="num" w:pos="720"/>
        </w:tabs>
        <w:ind w:left="720" w:hanging="720"/>
      </w:pPr>
      <w:rPr>
        <w:sz w:val="24"/>
      </w:rPr>
    </w:lvl>
  </w:abstractNum>
  <w:abstractNum w:abstractNumId="1" w15:restartNumberingAfterBreak="0">
    <w:nsid w:val="08C1042B"/>
    <w:multiLevelType w:val="multilevel"/>
    <w:tmpl w:val="9C32A2E4"/>
    <w:styleLink w:val="Numberedlist"/>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259"/>
        </w:tabs>
        <w:ind w:left="1259" w:hanging="1259"/>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622"/>
        </w:tabs>
        <w:ind w:left="1622" w:hanging="1622"/>
      </w:pPr>
      <w:rPr>
        <w:rFonts w:hint="default"/>
      </w:rPr>
    </w:lvl>
    <w:lvl w:ilvl="8">
      <w:start w:val="1"/>
      <w:numFmt w:val="decimal"/>
      <w:lvlText w:val="%1.%2.%3.%4.%5.%6.%7.%8.%9"/>
      <w:lvlJc w:val="left"/>
      <w:pPr>
        <w:tabs>
          <w:tab w:val="num" w:pos="1797"/>
        </w:tabs>
        <w:ind w:left="1797" w:hanging="1797"/>
      </w:pPr>
      <w:rPr>
        <w:rFonts w:hint="default"/>
      </w:rPr>
    </w:lvl>
  </w:abstractNum>
  <w:abstractNum w:abstractNumId="2" w15:restartNumberingAfterBreak="0">
    <w:nsid w:val="12B60594"/>
    <w:multiLevelType w:val="multilevel"/>
    <w:tmpl w:val="5952FACC"/>
    <w:name w:val="PwCNumberListTemplate"/>
    <w:lvl w:ilvl="0">
      <w:start w:val="1"/>
      <w:numFmt w:val="decimal"/>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lvlText w:val="%3"/>
      <w:lvlJc w:val="left"/>
      <w:pPr>
        <w:tabs>
          <w:tab w:val="num" w:pos="1786"/>
        </w:tabs>
        <w:ind w:left="1786" w:hanging="595"/>
      </w:pPr>
    </w:lvl>
    <w:lvl w:ilvl="3">
      <w:start w:val="1"/>
      <w:numFmt w:val="decimal"/>
      <w:lvlText w:val="%4"/>
      <w:lvlJc w:val="left"/>
      <w:pPr>
        <w:tabs>
          <w:tab w:val="num" w:pos="2381"/>
        </w:tabs>
        <w:ind w:left="2381" w:hanging="595"/>
      </w:pPr>
    </w:lvl>
    <w:lvl w:ilvl="4">
      <w:start w:val="1"/>
      <w:numFmt w:val="decimal"/>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3" w15:restartNumberingAfterBreak="0">
    <w:nsid w:val="26913EC5"/>
    <w:multiLevelType w:val="multilevel"/>
    <w:tmpl w:val="0DC6D1EC"/>
    <w:styleLink w:val="Numberedlistindented"/>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979"/>
        </w:tabs>
        <w:ind w:left="1979" w:hanging="899"/>
      </w:pPr>
      <w:rPr>
        <w:rFonts w:hint="default"/>
      </w:rPr>
    </w:lvl>
    <w:lvl w:ilvl="4">
      <w:start w:val="1"/>
      <w:numFmt w:val="decimal"/>
      <w:lvlText w:val="%1.%2.%3.%4.%5"/>
      <w:lvlJc w:val="left"/>
      <w:pPr>
        <w:tabs>
          <w:tab w:val="num" w:pos="2520"/>
        </w:tabs>
        <w:ind w:left="2517" w:hanging="1077"/>
      </w:pPr>
      <w:rPr>
        <w:rFonts w:hint="default"/>
      </w:rPr>
    </w:lvl>
    <w:lvl w:ilvl="5">
      <w:start w:val="1"/>
      <w:numFmt w:val="decimal"/>
      <w:lvlText w:val="%1.%2.%3.%4.%5.%6"/>
      <w:lvlJc w:val="left"/>
      <w:pPr>
        <w:tabs>
          <w:tab w:val="num" w:pos="3062"/>
        </w:tabs>
        <w:ind w:left="3062" w:hanging="1262"/>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139"/>
        </w:tabs>
        <w:ind w:left="4139" w:hanging="1619"/>
      </w:pPr>
      <w:rPr>
        <w:rFonts w:hint="default"/>
      </w:rPr>
    </w:lvl>
    <w:lvl w:ilvl="8">
      <w:start w:val="1"/>
      <w:numFmt w:val="decimal"/>
      <w:lvlText w:val="%1.%2.%3.%4.%5.%6.%7.%8.%9"/>
      <w:lvlJc w:val="left"/>
      <w:pPr>
        <w:tabs>
          <w:tab w:val="num" w:pos="4680"/>
        </w:tabs>
        <w:ind w:left="4678" w:hanging="1798"/>
      </w:pPr>
      <w:rPr>
        <w:rFonts w:hint="default"/>
      </w:rPr>
    </w:lvl>
  </w:abstractNum>
  <w:abstractNum w:abstractNumId="4" w15:restartNumberingAfterBreak="0">
    <w:nsid w:val="55A5549A"/>
    <w:multiLevelType w:val="multilevel"/>
    <w:tmpl w:val="63CCF360"/>
    <w:styleLink w:val="Bulletlist"/>
    <w:lvl w:ilvl="0">
      <w:start w:val="1"/>
      <w:numFmt w:val="bullet"/>
      <w:lvlText w:val=""/>
      <w:lvlJc w:val="left"/>
      <w:pPr>
        <w:tabs>
          <w:tab w:val="num" w:pos="357"/>
        </w:tabs>
        <w:ind w:left="357" w:hanging="357"/>
      </w:pPr>
      <w:rPr>
        <w:rFonts w:ascii="Symbol" w:hAnsi="Symbol" w:hint="default"/>
        <w:sz w:val="24"/>
        <w:szCs w:val="24"/>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Wingdings" w:hAnsi="Wingdings" w:hint="default"/>
        <w:sz w:val="16"/>
      </w:rPr>
    </w:lvl>
    <w:lvl w:ilvl="3">
      <w:start w:val="1"/>
      <w:numFmt w:val="bullet"/>
      <w:lvlText w:val=""/>
      <w:lvlJc w:val="left"/>
      <w:pPr>
        <w:tabs>
          <w:tab w:val="num" w:pos="1440"/>
        </w:tabs>
        <w:ind w:left="1440" w:hanging="363"/>
      </w:pPr>
      <w:rPr>
        <w:rFonts w:ascii="Wingdings" w:hAnsi="Wingdings" w:hint="default"/>
        <w:sz w:val="16"/>
        <w:szCs w:val="16"/>
      </w:rPr>
    </w:lvl>
    <w:lvl w:ilvl="4">
      <w:start w:val="1"/>
      <w:numFmt w:val="bullet"/>
      <w:lvlText w:val=""/>
      <w:lvlJc w:val="left"/>
      <w:pPr>
        <w:tabs>
          <w:tab w:val="num" w:pos="1797"/>
        </w:tabs>
        <w:ind w:left="1797" w:hanging="357"/>
      </w:pPr>
      <w:rPr>
        <w:rFonts w:ascii="Symbol" w:hAnsi="Symbol" w:hint="default"/>
        <w:sz w:val="24"/>
        <w:szCs w:val="24"/>
      </w:rPr>
    </w:lvl>
    <w:lvl w:ilvl="5">
      <w:start w:val="1"/>
      <w:numFmt w:val="bullet"/>
      <w:lvlText w:val=""/>
      <w:lvlJc w:val="left"/>
      <w:pPr>
        <w:tabs>
          <w:tab w:val="num" w:pos="2160"/>
        </w:tabs>
        <w:ind w:left="2160" w:hanging="363"/>
      </w:pPr>
      <w:rPr>
        <w:rFonts w:ascii="Symbol" w:hAnsi="Symbol" w:hint="default"/>
        <w:sz w:val="24"/>
        <w:szCs w:val="24"/>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2517"/>
        </w:tabs>
        <w:ind w:left="2517" w:hanging="357"/>
      </w:pPr>
      <w:rPr>
        <w:rFonts w:ascii="Symbol" w:hAnsi="Symbol" w:hint="default"/>
        <w:sz w:val="24"/>
        <w:szCs w:val="24"/>
      </w:rPr>
    </w:lvl>
    <w:lvl w:ilvl="7">
      <w:start w:val="1"/>
      <w:numFmt w:val="bullet"/>
      <w:lvlText w:val=""/>
      <w:lvlJc w:val="left"/>
      <w:pPr>
        <w:tabs>
          <w:tab w:val="num" w:pos="2880"/>
        </w:tabs>
        <w:ind w:left="2880" w:hanging="363"/>
      </w:pPr>
      <w:rPr>
        <w:rFonts w:ascii="Symbol" w:hAnsi="Symbol" w:hint="default"/>
        <w:sz w:val="24"/>
        <w:szCs w:val="24"/>
      </w:rPr>
    </w:lvl>
    <w:lvl w:ilvl="8">
      <w:start w:val="1"/>
      <w:numFmt w:val="bullet"/>
      <w:lvlText w:val=""/>
      <w:lvlJc w:val="left"/>
      <w:pPr>
        <w:tabs>
          <w:tab w:val="num" w:pos="3238"/>
        </w:tabs>
        <w:ind w:left="3238" w:hanging="358"/>
      </w:pPr>
      <w:rPr>
        <w:rFonts w:ascii="Symbol" w:hAnsi="Symbol" w:hint="default"/>
        <w:sz w:val="24"/>
        <w:szCs w:val="24"/>
      </w:rPr>
    </w:lvl>
  </w:abstractNum>
  <w:abstractNum w:abstractNumId="5" w15:restartNumberingAfterBreak="0">
    <w:nsid w:val="56A96961"/>
    <w:multiLevelType w:val="singleLevel"/>
    <w:tmpl w:val="E0CEE750"/>
    <w:lvl w:ilvl="0">
      <w:start w:val="1001"/>
      <w:numFmt w:val="decimal"/>
      <w:pStyle w:val="Afsnitsnr"/>
      <w:lvlText w:val="%1"/>
      <w:lvlJc w:val="left"/>
      <w:pPr>
        <w:tabs>
          <w:tab w:val="num" w:pos="720"/>
        </w:tabs>
        <w:ind w:left="0" w:firstLine="0"/>
      </w:pPr>
      <w:rPr>
        <w:rFonts w:hint="default"/>
      </w:rPr>
    </w:lvl>
  </w:abstractNum>
  <w:abstractNum w:abstractNumId="6" w15:restartNumberingAfterBreak="0">
    <w:nsid w:val="5D095D54"/>
    <w:multiLevelType w:val="multilevel"/>
    <w:tmpl w:val="AFAAC348"/>
    <w:name w:val="PwCHeadingListTemplate"/>
    <w:lvl w:ilvl="0">
      <w:start w:val="1"/>
      <w:numFmt w:val="decimal"/>
      <w:lvlText w:val="%1"/>
      <w:lvlJc w:val="right"/>
      <w:pPr>
        <w:tabs>
          <w:tab w:val="num" w:pos="0"/>
        </w:tabs>
        <w:ind w:left="0" w:hanging="280"/>
      </w:pPr>
      <w:rPr>
        <w:rFonts w:ascii="Times New Roman" w:hAnsi="Times New Roman" w:hint="default"/>
      </w:rPr>
    </w:lvl>
    <w:lvl w:ilvl="1">
      <w:start w:val="1"/>
      <w:numFmt w:val="decimal"/>
      <w:lvlText w:val="%1.%2"/>
      <w:lvlJc w:val="right"/>
      <w:pPr>
        <w:tabs>
          <w:tab w:val="num" w:pos="0"/>
        </w:tabs>
        <w:ind w:left="0" w:hanging="280"/>
      </w:pPr>
    </w:lvl>
    <w:lvl w:ilvl="2">
      <w:start w:val="1"/>
      <w:numFmt w:val="decimal"/>
      <w:lvlText w:val="%1.%2.%3"/>
      <w:lvlJc w:val="right"/>
      <w:pPr>
        <w:tabs>
          <w:tab w:val="num" w:pos="0"/>
        </w:tabs>
        <w:ind w:left="0" w:hanging="280"/>
      </w:pPr>
    </w:lvl>
    <w:lvl w:ilvl="3">
      <w:start w:val="1"/>
      <w:numFmt w:val="decimal"/>
      <w:lvlText w:val="%1.%2.%3.%4"/>
      <w:lvlJc w:val="right"/>
      <w:pPr>
        <w:tabs>
          <w:tab w:val="num" w:pos="0"/>
        </w:tabs>
        <w:ind w:left="0" w:hanging="280"/>
      </w:pPr>
    </w:lvl>
    <w:lvl w:ilvl="4">
      <w:start w:val="1"/>
      <w:numFmt w:val="decimal"/>
      <w:lvlText w:val="%1.%2.%3.%4.%5"/>
      <w:lvlJc w:val="right"/>
      <w:pPr>
        <w:tabs>
          <w:tab w:val="num" w:pos="0"/>
        </w:tabs>
        <w:ind w:left="0" w:hanging="280"/>
      </w:pPr>
    </w:lvl>
    <w:lvl w:ilvl="5">
      <w:start w:val="1"/>
      <w:numFmt w:val="decimal"/>
      <w:lvlText w:val="%1.%2.%3.%4.%5.%6"/>
      <w:lvlJc w:val="right"/>
      <w:pPr>
        <w:tabs>
          <w:tab w:val="num" w:pos="0"/>
        </w:tabs>
        <w:ind w:left="0" w:hanging="280"/>
      </w:pPr>
    </w:lvl>
    <w:lvl w:ilvl="6">
      <w:start w:val="1"/>
      <w:numFmt w:val="decimal"/>
      <w:lvlText w:val="%1.%2.%3.%4.%5.%6.%7"/>
      <w:lvlJc w:val="right"/>
      <w:pPr>
        <w:tabs>
          <w:tab w:val="num" w:pos="0"/>
        </w:tabs>
        <w:ind w:left="0" w:hanging="280"/>
      </w:pPr>
    </w:lvl>
    <w:lvl w:ilvl="7">
      <w:start w:val="1"/>
      <w:numFmt w:val="decimal"/>
      <w:lvlText w:val="%1.%2.%3.%4.%5.%6.%7.%8"/>
      <w:lvlJc w:val="right"/>
      <w:pPr>
        <w:tabs>
          <w:tab w:val="num" w:pos="0"/>
        </w:tabs>
        <w:ind w:left="0" w:hanging="280"/>
      </w:pPr>
    </w:lvl>
    <w:lvl w:ilvl="8">
      <w:start w:val="1"/>
      <w:numFmt w:val="decimal"/>
      <w:lvlText w:val="%1.%2.%3.%4.%5.%6.%7.%8.%9"/>
      <w:lvlJc w:val="right"/>
      <w:pPr>
        <w:tabs>
          <w:tab w:val="num" w:pos="0"/>
        </w:tabs>
        <w:ind w:left="0" w:hanging="280"/>
      </w:pPr>
    </w:lvl>
  </w:abstractNum>
  <w:abstractNum w:abstractNumId="7" w15:restartNumberingAfterBreak="0">
    <w:nsid w:val="6C3B5611"/>
    <w:multiLevelType w:val="hybridMultilevel"/>
    <w:tmpl w:val="017A0106"/>
    <w:lvl w:ilvl="0" w:tplc="0409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77ED1C9B"/>
    <w:multiLevelType w:val="multilevel"/>
    <w:tmpl w:val="3E5E15EA"/>
    <w:name w:val="PwCBulletListTemplate"/>
    <w:lvl w:ilvl="0">
      <w:start w:val="1"/>
      <w:numFmt w:val="bullet"/>
      <w:lvlText w:val="§"/>
      <w:lvlJc w:val="left"/>
      <w:pPr>
        <w:tabs>
          <w:tab w:val="num" w:pos="595"/>
        </w:tabs>
        <w:ind w:left="595" w:hanging="595"/>
      </w:pPr>
      <w:rPr>
        <w:rFonts w:ascii="Wingdings" w:hAnsi="Wingdings"/>
        <w:sz w:val="18"/>
      </w:rPr>
    </w:lvl>
    <w:lvl w:ilvl="1">
      <w:start w:val="1"/>
      <w:numFmt w:val="bullet"/>
      <w:lvlText w:val="§"/>
      <w:lvlJc w:val="left"/>
      <w:pPr>
        <w:tabs>
          <w:tab w:val="num" w:pos="1191"/>
        </w:tabs>
        <w:ind w:left="1191" w:hanging="595"/>
      </w:pPr>
      <w:rPr>
        <w:rFonts w:ascii="Wingdings" w:hAnsi="Wingdings"/>
        <w:sz w:val="18"/>
      </w:rPr>
    </w:lvl>
    <w:lvl w:ilvl="2">
      <w:start w:val="1"/>
      <w:numFmt w:val="bullet"/>
      <w:lvlText w:val="§"/>
      <w:lvlJc w:val="left"/>
      <w:pPr>
        <w:tabs>
          <w:tab w:val="num" w:pos="1786"/>
        </w:tabs>
        <w:ind w:left="1786" w:hanging="595"/>
      </w:pPr>
      <w:rPr>
        <w:rFonts w:ascii="Wingdings" w:hAnsi="Wingdings"/>
        <w:sz w:val="18"/>
      </w:rPr>
    </w:lvl>
    <w:lvl w:ilvl="3">
      <w:start w:val="1"/>
      <w:numFmt w:val="bullet"/>
      <w:lvlText w:val="§"/>
      <w:lvlJc w:val="left"/>
      <w:pPr>
        <w:tabs>
          <w:tab w:val="num" w:pos="2381"/>
        </w:tabs>
        <w:ind w:left="2381" w:hanging="595"/>
      </w:pPr>
      <w:rPr>
        <w:rFonts w:ascii="Wingdings" w:hAnsi="Wingdings"/>
        <w:sz w:val="18"/>
      </w:rPr>
    </w:lvl>
    <w:lvl w:ilvl="4">
      <w:start w:val="1"/>
      <w:numFmt w:val="bullet"/>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9" w15:restartNumberingAfterBreak="0">
    <w:nsid w:val="799F1016"/>
    <w:multiLevelType w:val="hybridMultilevel"/>
    <w:tmpl w:val="4E044604"/>
    <w:lvl w:ilvl="0" w:tplc="9162E66E">
      <w:start w:val="1"/>
      <w:numFmt w:val="bullet"/>
      <w:pStyle w:val="Bullet"/>
      <w:lvlText w:val=""/>
      <w:lvlJc w:val="left"/>
      <w:pPr>
        <w:tabs>
          <w:tab w:val="num" w:pos="709"/>
        </w:tabs>
        <w:ind w:left="709" w:hanging="709"/>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8457853">
    <w:abstractNumId w:val="0"/>
  </w:num>
  <w:num w:numId="2" w16cid:durableId="265970463">
    <w:abstractNumId w:val="4"/>
  </w:num>
  <w:num w:numId="3" w16cid:durableId="493226813">
    <w:abstractNumId w:val="1"/>
  </w:num>
  <w:num w:numId="4" w16cid:durableId="641351817">
    <w:abstractNumId w:val="3"/>
  </w:num>
  <w:num w:numId="5" w16cid:durableId="178811475">
    <w:abstractNumId w:val="9"/>
  </w:num>
  <w:num w:numId="6" w16cid:durableId="293678702">
    <w:abstractNumId w:val="5"/>
  </w:num>
  <w:num w:numId="7" w16cid:durableId="55346810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dirty" w:val="1"/>
  </w:docVars>
  <w:rsids>
    <w:rsidRoot w:val="00850A5A"/>
    <w:rsid w:val="000042BC"/>
    <w:rsid w:val="00016E3B"/>
    <w:rsid w:val="00021394"/>
    <w:rsid w:val="000256ED"/>
    <w:rsid w:val="00031EF7"/>
    <w:rsid w:val="00032EA9"/>
    <w:rsid w:val="0003519C"/>
    <w:rsid w:val="000412C9"/>
    <w:rsid w:val="00042928"/>
    <w:rsid w:val="0006408C"/>
    <w:rsid w:val="00071AB5"/>
    <w:rsid w:val="00081E1F"/>
    <w:rsid w:val="00082111"/>
    <w:rsid w:val="00091CD9"/>
    <w:rsid w:val="00091FB1"/>
    <w:rsid w:val="00092B0E"/>
    <w:rsid w:val="000951FD"/>
    <w:rsid w:val="000A2E31"/>
    <w:rsid w:val="000A437B"/>
    <w:rsid w:val="000B5A86"/>
    <w:rsid w:val="000B78A2"/>
    <w:rsid w:val="000C42A4"/>
    <w:rsid w:val="000C5AA3"/>
    <w:rsid w:val="000C5F12"/>
    <w:rsid w:val="000D27C2"/>
    <w:rsid w:val="000D49F4"/>
    <w:rsid w:val="000D7DEF"/>
    <w:rsid w:val="000F0D65"/>
    <w:rsid w:val="00102913"/>
    <w:rsid w:val="00112D26"/>
    <w:rsid w:val="00121664"/>
    <w:rsid w:val="001221F9"/>
    <w:rsid w:val="00123F38"/>
    <w:rsid w:val="00133455"/>
    <w:rsid w:val="00133980"/>
    <w:rsid w:val="0013642E"/>
    <w:rsid w:val="001405C4"/>
    <w:rsid w:val="001629D9"/>
    <w:rsid w:val="00165771"/>
    <w:rsid w:val="00175860"/>
    <w:rsid w:val="001801C8"/>
    <w:rsid w:val="00184E31"/>
    <w:rsid w:val="0018750B"/>
    <w:rsid w:val="00191B3B"/>
    <w:rsid w:val="00193E0A"/>
    <w:rsid w:val="00197B97"/>
    <w:rsid w:val="001A0BF4"/>
    <w:rsid w:val="001A2D8B"/>
    <w:rsid w:val="001A45CE"/>
    <w:rsid w:val="001A53E8"/>
    <w:rsid w:val="001C0B7B"/>
    <w:rsid w:val="001D0521"/>
    <w:rsid w:val="001D2313"/>
    <w:rsid w:val="001D53C1"/>
    <w:rsid w:val="001D550B"/>
    <w:rsid w:val="001D7F37"/>
    <w:rsid w:val="001E4503"/>
    <w:rsid w:val="001F1332"/>
    <w:rsid w:val="001F19E2"/>
    <w:rsid w:val="001F1B18"/>
    <w:rsid w:val="001F1C2E"/>
    <w:rsid w:val="001F2004"/>
    <w:rsid w:val="001F50D1"/>
    <w:rsid w:val="002045D6"/>
    <w:rsid w:val="0021546E"/>
    <w:rsid w:val="00230AEE"/>
    <w:rsid w:val="002366C2"/>
    <w:rsid w:val="00242090"/>
    <w:rsid w:val="00243301"/>
    <w:rsid w:val="00253ED2"/>
    <w:rsid w:val="00261BFA"/>
    <w:rsid w:val="002654F5"/>
    <w:rsid w:val="00267721"/>
    <w:rsid w:val="00270393"/>
    <w:rsid w:val="00270E7A"/>
    <w:rsid w:val="0027751D"/>
    <w:rsid w:val="002831F1"/>
    <w:rsid w:val="0028556A"/>
    <w:rsid w:val="00297030"/>
    <w:rsid w:val="0029785B"/>
    <w:rsid w:val="002A4565"/>
    <w:rsid w:val="002A758F"/>
    <w:rsid w:val="002C5CE4"/>
    <w:rsid w:val="002C7BDE"/>
    <w:rsid w:val="002D26DC"/>
    <w:rsid w:val="002E76F4"/>
    <w:rsid w:val="002F26CE"/>
    <w:rsid w:val="002F498C"/>
    <w:rsid w:val="00301CF1"/>
    <w:rsid w:val="003051DA"/>
    <w:rsid w:val="003105D0"/>
    <w:rsid w:val="0031078F"/>
    <w:rsid w:val="00314790"/>
    <w:rsid w:val="00316F36"/>
    <w:rsid w:val="003205DC"/>
    <w:rsid w:val="00331B83"/>
    <w:rsid w:val="0034163C"/>
    <w:rsid w:val="00346863"/>
    <w:rsid w:val="00353606"/>
    <w:rsid w:val="00360040"/>
    <w:rsid w:val="003641DF"/>
    <w:rsid w:val="003667C5"/>
    <w:rsid w:val="00371BC5"/>
    <w:rsid w:val="00373C00"/>
    <w:rsid w:val="00373D5D"/>
    <w:rsid w:val="003817BE"/>
    <w:rsid w:val="0039766B"/>
    <w:rsid w:val="003A0ABD"/>
    <w:rsid w:val="003A2180"/>
    <w:rsid w:val="003C63BB"/>
    <w:rsid w:val="003D0029"/>
    <w:rsid w:val="003D2280"/>
    <w:rsid w:val="003E45F5"/>
    <w:rsid w:val="003F1C07"/>
    <w:rsid w:val="003F3A90"/>
    <w:rsid w:val="003F65F8"/>
    <w:rsid w:val="004109E8"/>
    <w:rsid w:val="00410E83"/>
    <w:rsid w:val="00411126"/>
    <w:rsid w:val="00416A1B"/>
    <w:rsid w:val="0042196F"/>
    <w:rsid w:val="00424E81"/>
    <w:rsid w:val="004314B1"/>
    <w:rsid w:val="00431CCC"/>
    <w:rsid w:val="0043336F"/>
    <w:rsid w:val="00446ED2"/>
    <w:rsid w:val="00447683"/>
    <w:rsid w:val="004638F0"/>
    <w:rsid w:val="00467060"/>
    <w:rsid w:val="004818BF"/>
    <w:rsid w:val="004977CC"/>
    <w:rsid w:val="004A4979"/>
    <w:rsid w:val="004A565B"/>
    <w:rsid w:val="004B76CE"/>
    <w:rsid w:val="004D0178"/>
    <w:rsid w:val="004E1C5A"/>
    <w:rsid w:val="004F7ABA"/>
    <w:rsid w:val="0050155D"/>
    <w:rsid w:val="005158E7"/>
    <w:rsid w:val="00515ABA"/>
    <w:rsid w:val="0052065F"/>
    <w:rsid w:val="00522AEE"/>
    <w:rsid w:val="00524E0D"/>
    <w:rsid w:val="00525B39"/>
    <w:rsid w:val="0053351D"/>
    <w:rsid w:val="005336D2"/>
    <w:rsid w:val="005366BE"/>
    <w:rsid w:val="00554A7A"/>
    <w:rsid w:val="00554D7B"/>
    <w:rsid w:val="0055531B"/>
    <w:rsid w:val="005560E3"/>
    <w:rsid w:val="00556794"/>
    <w:rsid w:val="005600D2"/>
    <w:rsid w:val="00564B08"/>
    <w:rsid w:val="00576C04"/>
    <w:rsid w:val="00577C3E"/>
    <w:rsid w:val="00580AF4"/>
    <w:rsid w:val="00587EEA"/>
    <w:rsid w:val="00590C10"/>
    <w:rsid w:val="005971E2"/>
    <w:rsid w:val="005B2C68"/>
    <w:rsid w:val="005B6F1C"/>
    <w:rsid w:val="005B7AE3"/>
    <w:rsid w:val="005C3879"/>
    <w:rsid w:val="005C4EB2"/>
    <w:rsid w:val="005C536B"/>
    <w:rsid w:val="005C781D"/>
    <w:rsid w:val="005D38CC"/>
    <w:rsid w:val="005D57B5"/>
    <w:rsid w:val="005D7B77"/>
    <w:rsid w:val="005D7D23"/>
    <w:rsid w:val="005E0835"/>
    <w:rsid w:val="005E719E"/>
    <w:rsid w:val="00607C8B"/>
    <w:rsid w:val="00611771"/>
    <w:rsid w:val="00622D6C"/>
    <w:rsid w:val="00630558"/>
    <w:rsid w:val="00631F53"/>
    <w:rsid w:val="00636A11"/>
    <w:rsid w:val="00640C77"/>
    <w:rsid w:val="00642C3F"/>
    <w:rsid w:val="006468D3"/>
    <w:rsid w:val="00650525"/>
    <w:rsid w:val="006531AD"/>
    <w:rsid w:val="00661648"/>
    <w:rsid w:val="006679C4"/>
    <w:rsid w:val="006734D9"/>
    <w:rsid w:val="006900A6"/>
    <w:rsid w:val="006A321D"/>
    <w:rsid w:val="006A3755"/>
    <w:rsid w:val="006A7FC0"/>
    <w:rsid w:val="006B0921"/>
    <w:rsid w:val="006B2E94"/>
    <w:rsid w:val="006D2F49"/>
    <w:rsid w:val="006D3A7B"/>
    <w:rsid w:val="006E35B9"/>
    <w:rsid w:val="006E66BA"/>
    <w:rsid w:val="006F426A"/>
    <w:rsid w:val="006F6FDE"/>
    <w:rsid w:val="0070203F"/>
    <w:rsid w:val="00715F99"/>
    <w:rsid w:val="0071663D"/>
    <w:rsid w:val="007322E3"/>
    <w:rsid w:val="00775947"/>
    <w:rsid w:val="00781303"/>
    <w:rsid w:val="007833ED"/>
    <w:rsid w:val="00792234"/>
    <w:rsid w:val="00792AB8"/>
    <w:rsid w:val="007949E0"/>
    <w:rsid w:val="00795143"/>
    <w:rsid w:val="007A0CE3"/>
    <w:rsid w:val="007B04C0"/>
    <w:rsid w:val="007B458F"/>
    <w:rsid w:val="007C38C9"/>
    <w:rsid w:val="007E1DE4"/>
    <w:rsid w:val="007E2B86"/>
    <w:rsid w:val="007E61A4"/>
    <w:rsid w:val="00812E9F"/>
    <w:rsid w:val="008145B4"/>
    <w:rsid w:val="00815149"/>
    <w:rsid w:val="008360B3"/>
    <w:rsid w:val="008418B2"/>
    <w:rsid w:val="00843206"/>
    <w:rsid w:val="008450AD"/>
    <w:rsid w:val="00846263"/>
    <w:rsid w:val="00850A5A"/>
    <w:rsid w:val="008522CC"/>
    <w:rsid w:val="008545B0"/>
    <w:rsid w:val="0085730E"/>
    <w:rsid w:val="00871144"/>
    <w:rsid w:val="00872417"/>
    <w:rsid w:val="00881A92"/>
    <w:rsid w:val="00885D07"/>
    <w:rsid w:val="008872F5"/>
    <w:rsid w:val="008A7D81"/>
    <w:rsid w:val="008C39F9"/>
    <w:rsid w:val="008D6D9C"/>
    <w:rsid w:val="008E348C"/>
    <w:rsid w:val="008E55AF"/>
    <w:rsid w:val="008F2952"/>
    <w:rsid w:val="009140D8"/>
    <w:rsid w:val="00914DEB"/>
    <w:rsid w:val="00922E9E"/>
    <w:rsid w:val="00924028"/>
    <w:rsid w:val="0093138B"/>
    <w:rsid w:val="00934B48"/>
    <w:rsid w:val="00937A97"/>
    <w:rsid w:val="009473C5"/>
    <w:rsid w:val="0095029B"/>
    <w:rsid w:val="0095320B"/>
    <w:rsid w:val="0095708D"/>
    <w:rsid w:val="00967014"/>
    <w:rsid w:val="0097126F"/>
    <w:rsid w:val="00971DDD"/>
    <w:rsid w:val="00981CC2"/>
    <w:rsid w:val="0098673C"/>
    <w:rsid w:val="009913EC"/>
    <w:rsid w:val="00993A09"/>
    <w:rsid w:val="009B13AB"/>
    <w:rsid w:val="009D30DD"/>
    <w:rsid w:val="009F3EF6"/>
    <w:rsid w:val="00A11ED1"/>
    <w:rsid w:val="00A24A49"/>
    <w:rsid w:val="00A30A44"/>
    <w:rsid w:val="00A56B46"/>
    <w:rsid w:val="00A625EC"/>
    <w:rsid w:val="00A66EE7"/>
    <w:rsid w:val="00A72C51"/>
    <w:rsid w:val="00A75E87"/>
    <w:rsid w:val="00A81149"/>
    <w:rsid w:val="00A821E9"/>
    <w:rsid w:val="00A91A12"/>
    <w:rsid w:val="00A95B02"/>
    <w:rsid w:val="00A9719E"/>
    <w:rsid w:val="00AA1497"/>
    <w:rsid w:val="00AB0135"/>
    <w:rsid w:val="00AB78FA"/>
    <w:rsid w:val="00AC0C12"/>
    <w:rsid w:val="00AC1D8E"/>
    <w:rsid w:val="00AD18D2"/>
    <w:rsid w:val="00AE1039"/>
    <w:rsid w:val="00AF0A2B"/>
    <w:rsid w:val="00AF5EC0"/>
    <w:rsid w:val="00B00FEF"/>
    <w:rsid w:val="00B12472"/>
    <w:rsid w:val="00B13056"/>
    <w:rsid w:val="00B171C3"/>
    <w:rsid w:val="00B210AD"/>
    <w:rsid w:val="00B23AF4"/>
    <w:rsid w:val="00B24DAD"/>
    <w:rsid w:val="00B332F2"/>
    <w:rsid w:val="00B33F64"/>
    <w:rsid w:val="00B353A4"/>
    <w:rsid w:val="00B54CF3"/>
    <w:rsid w:val="00B57598"/>
    <w:rsid w:val="00B60009"/>
    <w:rsid w:val="00B71038"/>
    <w:rsid w:val="00B734B9"/>
    <w:rsid w:val="00B80492"/>
    <w:rsid w:val="00B87616"/>
    <w:rsid w:val="00B952CD"/>
    <w:rsid w:val="00BA359B"/>
    <w:rsid w:val="00BA4698"/>
    <w:rsid w:val="00BA6A00"/>
    <w:rsid w:val="00BB0519"/>
    <w:rsid w:val="00BB34AE"/>
    <w:rsid w:val="00BB3612"/>
    <w:rsid w:val="00BC4BAE"/>
    <w:rsid w:val="00BD4C19"/>
    <w:rsid w:val="00BE26CF"/>
    <w:rsid w:val="00BF6BAD"/>
    <w:rsid w:val="00C0407C"/>
    <w:rsid w:val="00C11B91"/>
    <w:rsid w:val="00C12587"/>
    <w:rsid w:val="00C25013"/>
    <w:rsid w:val="00C25DF8"/>
    <w:rsid w:val="00C35714"/>
    <w:rsid w:val="00C43802"/>
    <w:rsid w:val="00C5527D"/>
    <w:rsid w:val="00C570C8"/>
    <w:rsid w:val="00C779A7"/>
    <w:rsid w:val="00C843C0"/>
    <w:rsid w:val="00C85030"/>
    <w:rsid w:val="00C87799"/>
    <w:rsid w:val="00C92A72"/>
    <w:rsid w:val="00C93895"/>
    <w:rsid w:val="00C97CD1"/>
    <w:rsid w:val="00CA1A47"/>
    <w:rsid w:val="00CA401B"/>
    <w:rsid w:val="00CB090D"/>
    <w:rsid w:val="00CB0F68"/>
    <w:rsid w:val="00CB7D2C"/>
    <w:rsid w:val="00CD7056"/>
    <w:rsid w:val="00CE1B46"/>
    <w:rsid w:val="00CE3B4B"/>
    <w:rsid w:val="00CE5508"/>
    <w:rsid w:val="00CF2066"/>
    <w:rsid w:val="00D15A26"/>
    <w:rsid w:val="00D4119E"/>
    <w:rsid w:val="00D46D72"/>
    <w:rsid w:val="00D511E8"/>
    <w:rsid w:val="00D52185"/>
    <w:rsid w:val="00D53566"/>
    <w:rsid w:val="00D53DA6"/>
    <w:rsid w:val="00D636BF"/>
    <w:rsid w:val="00D64500"/>
    <w:rsid w:val="00D64646"/>
    <w:rsid w:val="00D676FF"/>
    <w:rsid w:val="00D7126F"/>
    <w:rsid w:val="00D75968"/>
    <w:rsid w:val="00D80107"/>
    <w:rsid w:val="00D8435F"/>
    <w:rsid w:val="00D86C1E"/>
    <w:rsid w:val="00D91CEA"/>
    <w:rsid w:val="00DB0C97"/>
    <w:rsid w:val="00DC2235"/>
    <w:rsid w:val="00DE167F"/>
    <w:rsid w:val="00DE4D45"/>
    <w:rsid w:val="00DE4E7A"/>
    <w:rsid w:val="00DF1F25"/>
    <w:rsid w:val="00DF3689"/>
    <w:rsid w:val="00DF5D48"/>
    <w:rsid w:val="00E01865"/>
    <w:rsid w:val="00E21A52"/>
    <w:rsid w:val="00E234BD"/>
    <w:rsid w:val="00E36517"/>
    <w:rsid w:val="00E40555"/>
    <w:rsid w:val="00E406EF"/>
    <w:rsid w:val="00E41F0D"/>
    <w:rsid w:val="00E46D53"/>
    <w:rsid w:val="00E5046A"/>
    <w:rsid w:val="00E530A6"/>
    <w:rsid w:val="00E87F07"/>
    <w:rsid w:val="00E937F0"/>
    <w:rsid w:val="00EA1004"/>
    <w:rsid w:val="00EB3725"/>
    <w:rsid w:val="00EC2640"/>
    <w:rsid w:val="00EC458F"/>
    <w:rsid w:val="00ED35F2"/>
    <w:rsid w:val="00ED36F2"/>
    <w:rsid w:val="00ED43F4"/>
    <w:rsid w:val="00EE525E"/>
    <w:rsid w:val="00EF46F0"/>
    <w:rsid w:val="00EF6B4F"/>
    <w:rsid w:val="00EF7810"/>
    <w:rsid w:val="00F014B6"/>
    <w:rsid w:val="00F10D3E"/>
    <w:rsid w:val="00F20C61"/>
    <w:rsid w:val="00F334A3"/>
    <w:rsid w:val="00F33E67"/>
    <w:rsid w:val="00F43E8E"/>
    <w:rsid w:val="00F44CF1"/>
    <w:rsid w:val="00F53746"/>
    <w:rsid w:val="00F64C9F"/>
    <w:rsid w:val="00F75DAC"/>
    <w:rsid w:val="00F767E7"/>
    <w:rsid w:val="00F85372"/>
    <w:rsid w:val="00F86F81"/>
    <w:rsid w:val="00F9390E"/>
    <w:rsid w:val="00FA510E"/>
    <w:rsid w:val="00FB2D84"/>
    <w:rsid w:val="00FB73BB"/>
    <w:rsid w:val="00FD5E97"/>
    <w:rsid w:val="00FE2A97"/>
    <w:rsid w:val="00F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8D213"/>
  <w15:docId w15:val="{0A2F302B-29D6-4ECD-AF5E-C09922B8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0AD"/>
    <w:pPr>
      <w:spacing w:line="240" w:lineRule="atLeast"/>
    </w:pPr>
    <w:rPr>
      <w:rFonts w:ascii="Georgia" w:eastAsiaTheme="minorHAnsi" w:hAnsi="Georgia" w:cstheme="minorBidi"/>
      <w:szCs w:val="22"/>
      <w:lang w:val="da-DK"/>
    </w:rPr>
  </w:style>
  <w:style w:type="paragraph" w:styleId="Overskrift1">
    <w:name w:val="heading 1"/>
    <w:basedOn w:val="Normal"/>
    <w:next w:val="Normal"/>
    <w:uiPriority w:val="9"/>
    <w:qFormat/>
    <w:rsid w:val="00DF5D48"/>
    <w:pPr>
      <w:keepNext/>
      <w:keepLines/>
      <w:spacing w:before="480"/>
      <w:outlineLvl w:val="0"/>
    </w:pPr>
    <w:rPr>
      <w:rFonts w:asciiTheme="majorHAnsi" w:eastAsiaTheme="majorEastAsia" w:hAnsiTheme="majorHAnsi" w:cstheme="majorBidi"/>
      <w:b/>
      <w:bCs/>
      <w:color w:val="1F497D" w:themeColor="text2"/>
      <w:sz w:val="28"/>
      <w:szCs w:val="28"/>
    </w:rPr>
  </w:style>
  <w:style w:type="paragraph" w:styleId="Overskrift2">
    <w:name w:val="heading 2"/>
    <w:basedOn w:val="Normal"/>
    <w:next w:val="Normal"/>
    <w:uiPriority w:val="9"/>
    <w:unhideWhenUsed/>
    <w:qFormat/>
    <w:rsid w:val="00DF5D48"/>
    <w:pPr>
      <w:keepNext/>
      <w:keepLines/>
      <w:spacing w:before="200"/>
      <w:outlineLvl w:val="1"/>
    </w:pPr>
    <w:rPr>
      <w:rFonts w:asciiTheme="majorHAnsi" w:eastAsiaTheme="majorEastAsia" w:hAnsiTheme="majorHAnsi" w:cstheme="majorBidi"/>
      <w:b/>
      <w:bCs/>
      <w:color w:val="1F497D" w:themeColor="text2"/>
      <w:sz w:val="26"/>
      <w:szCs w:val="26"/>
    </w:rPr>
  </w:style>
  <w:style w:type="paragraph" w:styleId="Overskrift3">
    <w:name w:val="heading 3"/>
    <w:basedOn w:val="Normal"/>
    <w:next w:val="Normal"/>
    <w:qFormat/>
    <w:rsid w:val="00F334A3"/>
    <w:pPr>
      <w:keepNext/>
      <w:keepLines/>
      <w:spacing w:after="200"/>
      <w:outlineLvl w:val="2"/>
    </w:pPr>
    <w:rPr>
      <w:b/>
    </w:rPr>
  </w:style>
  <w:style w:type="paragraph" w:styleId="Overskrift4">
    <w:name w:val="heading 4"/>
    <w:basedOn w:val="Normal"/>
    <w:next w:val="Normal"/>
    <w:qFormat/>
    <w:rsid w:val="00F334A3"/>
    <w:pPr>
      <w:keepNext/>
      <w:keepLines/>
      <w:spacing w:after="80"/>
      <w:outlineLvl w:val="3"/>
    </w:pPr>
    <w:rPr>
      <w:b/>
      <w:i/>
    </w:rPr>
  </w:style>
  <w:style w:type="paragraph" w:styleId="Overskrift5">
    <w:name w:val="heading 5"/>
    <w:basedOn w:val="Normal"/>
    <w:qFormat/>
    <w:rsid w:val="00F334A3"/>
    <w:pPr>
      <w:keepNext/>
      <w:keepLines/>
      <w:spacing w:after="80"/>
      <w:outlineLvl w:val="4"/>
    </w:pPr>
    <w:rPr>
      <w:i/>
    </w:rPr>
  </w:style>
  <w:style w:type="paragraph" w:styleId="Overskrift6">
    <w:name w:val="heading 6"/>
    <w:aliases w:val="Nummerering 1"/>
    <w:basedOn w:val="Overskrift1"/>
    <w:next w:val="Normal"/>
    <w:qFormat/>
    <w:rsid w:val="00446ED2"/>
    <w:pPr>
      <w:numPr>
        <w:ilvl w:val="5"/>
      </w:numPr>
      <w:outlineLvl w:val="5"/>
    </w:pPr>
  </w:style>
  <w:style w:type="paragraph" w:styleId="Overskrift7">
    <w:name w:val="heading 7"/>
    <w:aliases w:val="Nummerering 2"/>
    <w:basedOn w:val="Overskrift2"/>
    <w:next w:val="Normal"/>
    <w:qFormat/>
    <w:rsid w:val="00446ED2"/>
    <w:pPr>
      <w:numPr>
        <w:ilvl w:val="6"/>
        <w:numId w:val="1"/>
      </w:numPr>
      <w:outlineLvl w:val="6"/>
    </w:pPr>
  </w:style>
  <w:style w:type="paragraph" w:styleId="Overskrift8">
    <w:name w:val="heading 8"/>
    <w:aliases w:val="Nummerering 3"/>
    <w:basedOn w:val="Overskrift3"/>
    <w:next w:val="Normal"/>
    <w:qFormat/>
    <w:rsid w:val="00446ED2"/>
    <w:pPr>
      <w:numPr>
        <w:ilvl w:val="7"/>
        <w:numId w:val="1"/>
      </w:numPr>
      <w:outlineLvl w:val="7"/>
    </w:pPr>
  </w:style>
  <w:style w:type="paragraph" w:styleId="Overskrift9">
    <w:name w:val="heading 9"/>
    <w:aliases w:val="Nummerering 4"/>
    <w:basedOn w:val="Overskrift4"/>
    <w:next w:val="Normal"/>
    <w:qFormat/>
    <w:rsid w:val="00446ED2"/>
    <w:pPr>
      <w:numPr>
        <w:ilvl w:val="8"/>
        <w:numId w:val="1"/>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eading1">
    <w:name w:val="Heading_1"/>
    <w:aliases w:val="Ikke i indholdsfort."/>
    <w:basedOn w:val="Overskrift1"/>
    <w:next w:val="Normal"/>
    <w:rsid w:val="001D550B"/>
    <w:pPr>
      <w:tabs>
        <w:tab w:val="left" w:pos="720"/>
      </w:tabs>
      <w:outlineLvl w:val="9"/>
    </w:pPr>
  </w:style>
  <w:style w:type="paragraph" w:styleId="Sidehoved">
    <w:name w:val="header"/>
    <w:basedOn w:val="Normal"/>
    <w:uiPriority w:val="99"/>
    <w:unhideWhenUsed/>
    <w:rsid w:val="00DF5D48"/>
    <w:pPr>
      <w:tabs>
        <w:tab w:val="center" w:pos="4513"/>
        <w:tab w:val="right" w:pos="9026"/>
      </w:tabs>
      <w:spacing w:line="240" w:lineRule="auto"/>
    </w:pPr>
  </w:style>
  <w:style w:type="paragraph" w:styleId="Sidefod">
    <w:name w:val="footer"/>
    <w:basedOn w:val="Normal"/>
    <w:uiPriority w:val="99"/>
    <w:unhideWhenUsed/>
    <w:rsid w:val="00DF5D48"/>
    <w:pPr>
      <w:tabs>
        <w:tab w:val="center" w:pos="4513"/>
        <w:tab w:val="right" w:pos="9026"/>
      </w:tabs>
      <w:spacing w:line="240" w:lineRule="auto"/>
    </w:pPr>
  </w:style>
  <w:style w:type="paragraph" w:customStyle="1" w:styleId="Indent1">
    <w:name w:val="Indent 1"/>
    <w:basedOn w:val="Normal"/>
    <w:rsid w:val="001D550B"/>
    <w:pPr>
      <w:tabs>
        <w:tab w:val="left" w:pos="720"/>
        <w:tab w:val="right" w:pos="8789"/>
      </w:tabs>
      <w:ind w:left="720"/>
    </w:pPr>
  </w:style>
  <w:style w:type="paragraph" w:customStyle="1" w:styleId="Indent2">
    <w:name w:val="Indent 2"/>
    <w:basedOn w:val="Normal"/>
    <w:rsid w:val="001D550B"/>
    <w:pPr>
      <w:tabs>
        <w:tab w:val="left" w:pos="720"/>
        <w:tab w:val="right" w:pos="8789"/>
      </w:tabs>
      <w:ind w:left="1440"/>
    </w:pPr>
  </w:style>
  <w:style w:type="paragraph" w:customStyle="1" w:styleId="Indent3">
    <w:name w:val="Indent 3"/>
    <w:basedOn w:val="Normal"/>
    <w:rsid w:val="001D550B"/>
    <w:pPr>
      <w:tabs>
        <w:tab w:val="left" w:pos="720"/>
        <w:tab w:val="right" w:pos="8789"/>
      </w:tabs>
      <w:ind w:left="2160"/>
    </w:pPr>
  </w:style>
  <w:style w:type="paragraph" w:customStyle="1" w:styleId="Indent4">
    <w:name w:val="Indent 4"/>
    <w:basedOn w:val="Normal"/>
    <w:rsid w:val="001D550B"/>
    <w:pPr>
      <w:tabs>
        <w:tab w:val="left" w:pos="720"/>
        <w:tab w:val="right" w:pos="8789"/>
      </w:tabs>
      <w:ind w:left="2880"/>
    </w:pPr>
  </w:style>
  <w:style w:type="numbering" w:customStyle="1" w:styleId="Bulletlist">
    <w:name w:val="Bullet list"/>
    <w:basedOn w:val="Ingenoversigt"/>
    <w:rsid w:val="005B7AE3"/>
    <w:pPr>
      <w:numPr>
        <w:numId w:val="2"/>
      </w:numPr>
    </w:pPr>
  </w:style>
  <w:style w:type="numbering" w:customStyle="1" w:styleId="Numberedlist">
    <w:name w:val="Numbered list"/>
    <w:basedOn w:val="Ingenoversigt"/>
    <w:rsid w:val="00F334A3"/>
    <w:pPr>
      <w:numPr>
        <w:numId w:val="3"/>
      </w:numPr>
    </w:pPr>
  </w:style>
  <w:style w:type="numbering" w:customStyle="1" w:styleId="Numberedlistindented">
    <w:name w:val="Numbered list indented"/>
    <w:basedOn w:val="Numberedlist"/>
    <w:rsid w:val="00F334A3"/>
    <w:pPr>
      <w:numPr>
        <w:numId w:val="4"/>
      </w:numPr>
    </w:pPr>
  </w:style>
  <w:style w:type="paragraph" w:customStyle="1" w:styleId="Bullet">
    <w:name w:val="Bullet"/>
    <w:basedOn w:val="Normal"/>
    <w:rsid w:val="005B7AE3"/>
    <w:pPr>
      <w:numPr>
        <w:numId w:val="5"/>
      </w:numPr>
      <w:tabs>
        <w:tab w:val="right" w:pos="9356"/>
      </w:tabs>
    </w:pPr>
  </w:style>
  <w:style w:type="paragraph" w:customStyle="1" w:styleId="Afsnitsnr">
    <w:name w:val="Afsnitsnr."/>
    <w:basedOn w:val="Normal"/>
    <w:rsid w:val="005B7AE3"/>
    <w:pPr>
      <w:numPr>
        <w:numId w:val="6"/>
      </w:numPr>
      <w:spacing w:after="290"/>
    </w:pPr>
  </w:style>
  <w:style w:type="paragraph" w:styleId="Fodnotetekst">
    <w:name w:val="footnote text"/>
    <w:basedOn w:val="Normal"/>
    <w:semiHidden/>
    <w:rsid w:val="00B33F64"/>
  </w:style>
  <w:style w:type="paragraph" w:styleId="Makrotekst">
    <w:name w:val="macro"/>
    <w:semiHidden/>
    <w:rsid w:val="00B33F64"/>
    <w:pPr>
      <w:tabs>
        <w:tab w:val="left" w:pos="480"/>
        <w:tab w:val="left" w:pos="960"/>
        <w:tab w:val="left" w:pos="1440"/>
        <w:tab w:val="left" w:pos="1920"/>
        <w:tab w:val="left" w:pos="2400"/>
        <w:tab w:val="left" w:pos="2880"/>
        <w:tab w:val="left" w:pos="3360"/>
        <w:tab w:val="left" w:pos="3840"/>
        <w:tab w:val="left" w:pos="4320"/>
      </w:tabs>
      <w:spacing w:after="260" w:line="240" w:lineRule="atLeast"/>
    </w:pPr>
    <w:rPr>
      <w:rFonts w:ascii="Courier New" w:hAnsi="Courier New"/>
      <w:lang w:val="en-GB"/>
    </w:rPr>
  </w:style>
  <w:style w:type="paragraph" w:styleId="Indholdsfortegnelse1">
    <w:name w:val="toc 1"/>
    <w:basedOn w:val="Normal"/>
    <w:next w:val="Normal"/>
    <w:autoRedefine/>
    <w:semiHidden/>
    <w:rsid w:val="001D550B"/>
    <w:pPr>
      <w:tabs>
        <w:tab w:val="right" w:pos="8789"/>
      </w:tabs>
      <w:spacing w:before="290"/>
      <w:ind w:left="720" w:right="720" w:hanging="720"/>
    </w:pPr>
  </w:style>
  <w:style w:type="paragraph" w:styleId="Indholdsfortegnelse2">
    <w:name w:val="toc 2"/>
    <w:basedOn w:val="Normal"/>
    <w:next w:val="Normal"/>
    <w:autoRedefine/>
    <w:semiHidden/>
    <w:rsid w:val="001D550B"/>
    <w:pPr>
      <w:tabs>
        <w:tab w:val="left" w:pos="1440"/>
        <w:tab w:val="right" w:pos="8789"/>
      </w:tabs>
      <w:spacing w:before="140"/>
      <w:ind w:left="1440" w:right="720" w:hanging="720"/>
    </w:pPr>
    <w:rPr>
      <w:noProof/>
      <w:szCs w:val="28"/>
    </w:rPr>
  </w:style>
  <w:style w:type="paragraph" w:styleId="Indholdsfortegnelse3">
    <w:name w:val="toc 3"/>
    <w:basedOn w:val="Normal"/>
    <w:next w:val="Normal"/>
    <w:autoRedefine/>
    <w:semiHidden/>
    <w:rsid w:val="001D550B"/>
    <w:pPr>
      <w:tabs>
        <w:tab w:val="left" w:pos="1418"/>
        <w:tab w:val="left" w:pos="2160"/>
        <w:tab w:val="right" w:pos="8789"/>
      </w:tabs>
      <w:spacing w:before="140"/>
      <w:ind w:left="1440" w:right="720" w:hanging="720"/>
    </w:pPr>
    <w:rPr>
      <w:noProof/>
    </w:rPr>
  </w:style>
  <w:style w:type="paragraph" w:styleId="Indholdsfortegnelse4">
    <w:name w:val="toc 4"/>
    <w:basedOn w:val="Normal"/>
    <w:next w:val="Normal"/>
    <w:autoRedefine/>
    <w:semiHidden/>
    <w:rsid w:val="00121664"/>
    <w:pPr>
      <w:tabs>
        <w:tab w:val="right" w:pos="8778"/>
      </w:tabs>
      <w:spacing w:before="140"/>
      <w:ind w:left="720"/>
    </w:pPr>
  </w:style>
  <w:style w:type="paragraph" w:styleId="Indholdsfortegnelse5">
    <w:name w:val="toc 5"/>
    <w:basedOn w:val="Normal"/>
    <w:next w:val="Normal"/>
    <w:autoRedefine/>
    <w:semiHidden/>
    <w:rsid w:val="00121664"/>
    <w:pPr>
      <w:tabs>
        <w:tab w:val="right" w:pos="8778"/>
      </w:tabs>
      <w:spacing w:before="140"/>
      <w:ind w:left="720"/>
    </w:pPr>
  </w:style>
  <w:style w:type="paragraph" w:styleId="Indholdsfortegnelse6">
    <w:name w:val="toc 6"/>
    <w:basedOn w:val="Normal"/>
    <w:next w:val="Normal"/>
    <w:autoRedefine/>
    <w:semiHidden/>
    <w:rsid w:val="001D550B"/>
    <w:pPr>
      <w:tabs>
        <w:tab w:val="left" w:pos="720"/>
        <w:tab w:val="right" w:pos="8789"/>
      </w:tabs>
      <w:spacing w:before="290"/>
      <w:ind w:left="720" w:right="720" w:hanging="720"/>
    </w:pPr>
  </w:style>
  <w:style w:type="paragraph" w:styleId="Indholdsfortegnelse7">
    <w:name w:val="toc 7"/>
    <w:basedOn w:val="Normal"/>
    <w:next w:val="Normal"/>
    <w:autoRedefine/>
    <w:semiHidden/>
    <w:rsid w:val="001D550B"/>
    <w:pPr>
      <w:tabs>
        <w:tab w:val="left" w:pos="1440"/>
        <w:tab w:val="right" w:pos="8789"/>
      </w:tabs>
      <w:spacing w:before="140"/>
      <w:ind w:left="1440" w:right="720" w:hanging="720"/>
    </w:pPr>
  </w:style>
  <w:style w:type="paragraph" w:styleId="Indholdsfortegnelse8">
    <w:name w:val="toc 8"/>
    <w:basedOn w:val="Normal"/>
    <w:next w:val="Normal"/>
    <w:autoRedefine/>
    <w:semiHidden/>
    <w:rsid w:val="001D550B"/>
    <w:pPr>
      <w:tabs>
        <w:tab w:val="left" w:pos="2160"/>
        <w:tab w:val="right" w:pos="8789"/>
      </w:tabs>
      <w:spacing w:before="140"/>
      <w:ind w:left="2160" w:right="720" w:hanging="720"/>
    </w:pPr>
    <w:rPr>
      <w:noProof/>
    </w:rPr>
  </w:style>
  <w:style w:type="paragraph" w:styleId="Indholdsfortegnelse9">
    <w:name w:val="toc 9"/>
    <w:basedOn w:val="Normal"/>
    <w:next w:val="Normal"/>
    <w:autoRedefine/>
    <w:semiHidden/>
    <w:rsid w:val="001D550B"/>
    <w:pPr>
      <w:tabs>
        <w:tab w:val="left" w:pos="2880"/>
        <w:tab w:val="right" w:pos="8789"/>
      </w:tabs>
      <w:spacing w:before="140"/>
      <w:ind w:left="2880" w:right="720" w:hanging="720"/>
    </w:pPr>
  </w:style>
  <w:style w:type="paragraph" w:customStyle="1" w:styleId="Disclaimer">
    <w:name w:val="Disclaimer"/>
    <w:basedOn w:val="Normal"/>
    <w:qFormat/>
    <w:rsid w:val="00DF5D48"/>
    <w:pPr>
      <w:spacing w:line="140" w:lineRule="atLeast"/>
    </w:pPr>
    <w:rPr>
      <w:rFonts w:ascii="Arial" w:hAnsi="Arial" w:cs="Arial"/>
      <w:noProof/>
      <w:sz w:val="12"/>
      <w:lang w:eastAsia="en-GB"/>
    </w:rPr>
  </w:style>
  <w:style w:type="paragraph" w:styleId="Markeringsbobletekst">
    <w:name w:val="Balloon Text"/>
    <w:basedOn w:val="Normal"/>
    <w:link w:val="MarkeringsbobletekstTegn"/>
    <w:rsid w:val="0097126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97126F"/>
    <w:rPr>
      <w:rFonts w:ascii="Tahoma" w:hAnsi="Tahoma" w:cs="Tahoma"/>
      <w:sz w:val="16"/>
      <w:szCs w:val="16"/>
      <w:lang w:val="en-GB"/>
    </w:rPr>
  </w:style>
  <w:style w:type="paragraph" w:customStyle="1" w:styleId="PwCAddress">
    <w:name w:val="PwC Address"/>
    <w:basedOn w:val="Normal"/>
    <w:link w:val="PwCAddressChar"/>
    <w:qFormat/>
    <w:rsid w:val="00DF5D48"/>
    <w:pPr>
      <w:spacing w:line="200" w:lineRule="atLeast"/>
    </w:pPr>
    <w:rPr>
      <w:i/>
      <w:noProof/>
      <w:sz w:val="18"/>
      <w:lang w:eastAsia="en-GB"/>
    </w:rPr>
  </w:style>
  <w:style w:type="paragraph" w:styleId="Brdtekst">
    <w:name w:val="Body Text"/>
    <w:basedOn w:val="Normal"/>
    <w:link w:val="BrdtekstTegn"/>
    <w:uiPriority w:val="99"/>
    <w:unhideWhenUsed/>
    <w:rsid w:val="00DF5D48"/>
    <w:pPr>
      <w:spacing w:after="240"/>
    </w:pPr>
  </w:style>
  <w:style w:type="character" w:customStyle="1" w:styleId="BrdtekstTegn">
    <w:name w:val="Brødtekst Tegn"/>
    <w:basedOn w:val="Standardskrifttypeiafsnit"/>
    <w:link w:val="Brdtekst"/>
    <w:uiPriority w:val="99"/>
    <w:rsid w:val="00DF5D48"/>
    <w:rPr>
      <w:rFonts w:ascii="Georgia" w:eastAsiaTheme="minorHAnsi" w:hAnsi="Georgia" w:cstheme="minorBidi"/>
      <w:szCs w:val="22"/>
      <w:lang w:val="en-GB"/>
    </w:rPr>
  </w:style>
  <w:style w:type="table" w:styleId="Tabel-Gitter">
    <w:name w:val="Table Grid"/>
    <w:basedOn w:val="Tabel-Normal"/>
    <w:rsid w:val="001F1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wcDocumentType">
    <w:name w:val="pwcDocumentType"/>
    <w:basedOn w:val="Normal"/>
    <w:link w:val="pwcDocumentTypeChar"/>
    <w:qFormat/>
    <w:rsid w:val="00B332F2"/>
    <w:pPr>
      <w:spacing w:before="240" w:after="240"/>
    </w:pPr>
    <w:rPr>
      <w:b/>
      <w:i/>
    </w:rPr>
  </w:style>
  <w:style w:type="paragraph" w:customStyle="1" w:styleId="PwcRecipientBlock">
    <w:name w:val="PwcRecipientBlock"/>
    <w:basedOn w:val="Normal"/>
    <w:link w:val="PwcRecipientBlockChar"/>
    <w:qFormat/>
    <w:rsid w:val="003E45F5"/>
    <w:pPr>
      <w:spacing w:line="280" w:lineRule="atLeast"/>
    </w:pPr>
    <w:rPr>
      <w:rFonts w:ascii="Arial" w:hAnsi="Arial" w:cs="Arial"/>
    </w:rPr>
  </w:style>
  <w:style w:type="character" w:customStyle="1" w:styleId="pwcDocumentTypeChar">
    <w:name w:val="pwcDocumentType Char"/>
    <w:basedOn w:val="Standardskrifttypeiafsnit"/>
    <w:link w:val="pwcDocumentType"/>
    <w:rsid w:val="00B332F2"/>
    <w:rPr>
      <w:rFonts w:ascii="Georgia" w:eastAsiaTheme="minorHAnsi" w:hAnsi="Georgia" w:cstheme="minorBidi"/>
      <w:b/>
      <w:i/>
      <w:szCs w:val="22"/>
      <w:lang w:val="en-GB"/>
    </w:rPr>
  </w:style>
  <w:style w:type="paragraph" w:customStyle="1" w:styleId="PwcAddressLeftSide">
    <w:name w:val="PwcAddressLeftSide"/>
    <w:basedOn w:val="PwCAddress"/>
    <w:link w:val="PwcAddressLeftSideChar"/>
    <w:qFormat/>
    <w:rsid w:val="003E45F5"/>
    <w:pPr>
      <w:ind w:left="142"/>
    </w:pPr>
    <w:rPr>
      <w:sz w:val="16"/>
      <w:szCs w:val="16"/>
    </w:rPr>
  </w:style>
  <w:style w:type="character" w:customStyle="1" w:styleId="PwcRecipientBlockChar">
    <w:name w:val="PwcRecipientBlock Char"/>
    <w:basedOn w:val="Standardskrifttypeiafsnit"/>
    <w:link w:val="PwcRecipientBlock"/>
    <w:rsid w:val="003E45F5"/>
    <w:rPr>
      <w:rFonts w:ascii="Arial" w:eastAsiaTheme="minorHAnsi" w:hAnsi="Arial" w:cs="Arial"/>
      <w:szCs w:val="22"/>
      <w:lang w:val="en-GB"/>
    </w:rPr>
  </w:style>
  <w:style w:type="character" w:customStyle="1" w:styleId="PwCAddressChar">
    <w:name w:val="PwC Address Char"/>
    <w:basedOn w:val="Standardskrifttypeiafsnit"/>
    <w:link w:val="PwCAddress"/>
    <w:rsid w:val="003E45F5"/>
    <w:rPr>
      <w:rFonts w:ascii="Georgia" w:eastAsiaTheme="minorHAnsi" w:hAnsi="Georgia" w:cstheme="minorBidi"/>
      <w:i/>
      <w:noProof/>
      <w:sz w:val="18"/>
      <w:szCs w:val="22"/>
      <w:lang w:val="en-GB" w:eastAsia="en-GB"/>
    </w:rPr>
  </w:style>
  <w:style w:type="character" w:customStyle="1" w:styleId="PwcAddressLeftSideChar">
    <w:name w:val="PwcAddressLeftSide Char"/>
    <w:basedOn w:val="PwCAddressChar"/>
    <w:link w:val="PwcAddressLeftSide"/>
    <w:rsid w:val="003E45F5"/>
    <w:rPr>
      <w:rFonts w:ascii="Georgia" w:eastAsiaTheme="minorHAnsi" w:hAnsi="Georgia" w:cstheme="minorBidi"/>
      <w:i/>
      <w:noProof/>
      <w:sz w:val="18"/>
      <w:szCs w:val="22"/>
      <w:lang w:val="en-GB" w:eastAsia="en-GB"/>
    </w:rPr>
  </w:style>
  <w:style w:type="character" w:styleId="Kommentarhenvisning">
    <w:name w:val="annotation reference"/>
    <w:basedOn w:val="Standardskrifttypeiafsnit"/>
    <w:rsid w:val="00016E3B"/>
    <w:rPr>
      <w:sz w:val="16"/>
      <w:szCs w:val="16"/>
    </w:rPr>
  </w:style>
  <w:style w:type="paragraph" w:styleId="Kommentartekst">
    <w:name w:val="annotation text"/>
    <w:basedOn w:val="Normal"/>
    <w:link w:val="KommentartekstTegn"/>
    <w:rsid w:val="00016E3B"/>
    <w:pPr>
      <w:spacing w:line="240" w:lineRule="auto"/>
    </w:pPr>
    <w:rPr>
      <w:szCs w:val="20"/>
    </w:rPr>
  </w:style>
  <w:style w:type="character" w:customStyle="1" w:styleId="KommentartekstTegn">
    <w:name w:val="Kommentartekst Tegn"/>
    <w:basedOn w:val="Standardskrifttypeiafsnit"/>
    <w:link w:val="Kommentartekst"/>
    <w:rsid w:val="00016E3B"/>
    <w:rPr>
      <w:rFonts w:ascii="Georgia" w:eastAsiaTheme="minorHAnsi" w:hAnsi="Georgia" w:cstheme="minorBidi"/>
      <w:lang w:val="da-DK"/>
    </w:rPr>
  </w:style>
  <w:style w:type="paragraph" w:styleId="Kommentaremne">
    <w:name w:val="annotation subject"/>
    <w:basedOn w:val="Kommentartekst"/>
    <w:next w:val="Kommentartekst"/>
    <w:link w:val="KommentaremneTegn"/>
    <w:rsid w:val="00016E3B"/>
    <w:rPr>
      <w:b/>
      <w:bCs/>
    </w:rPr>
  </w:style>
  <w:style w:type="character" w:customStyle="1" w:styleId="KommentaremneTegn">
    <w:name w:val="Kommentaremne Tegn"/>
    <w:basedOn w:val="KommentartekstTegn"/>
    <w:link w:val="Kommentaremne"/>
    <w:rsid w:val="00016E3B"/>
    <w:rPr>
      <w:rFonts w:ascii="Georgia" w:eastAsiaTheme="minorHAnsi" w:hAnsi="Georgia" w:cstheme="minorBidi"/>
      <w:b/>
      <w:bCs/>
      <w:lang w:val="da-DK"/>
    </w:rPr>
  </w:style>
  <w:style w:type="paragraph" w:styleId="Korrektur">
    <w:name w:val="Revision"/>
    <w:hidden/>
    <w:uiPriority w:val="99"/>
    <w:semiHidden/>
    <w:rsid w:val="00081E1F"/>
    <w:rPr>
      <w:rFonts w:ascii="Georgia" w:eastAsiaTheme="minorHAnsi" w:hAnsi="Georgia" w:cstheme="minorBidi"/>
      <w:szCs w:val="22"/>
      <w:lang w:val="da-DK"/>
    </w:rPr>
  </w:style>
  <w:style w:type="paragraph" w:styleId="Listeafsnit">
    <w:name w:val="List Paragraph"/>
    <w:basedOn w:val="Normal"/>
    <w:uiPriority w:val="34"/>
    <w:qFormat/>
    <w:rsid w:val="00775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7555">
      <w:bodyDiv w:val="1"/>
      <w:marLeft w:val="0"/>
      <w:marRight w:val="0"/>
      <w:marTop w:val="0"/>
      <w:marBottom w:val="0"/>
      <w:divBdr>
        <w:top w:val="none" w:sz="0" w:space="0" w:color="auto"/>
        <w:left w:val="none" w:sz="0" w:space="0" w:color="auto"/>
        <w:bottom w:val="none" w:sz="0" w:space="0" w:color="auto"/>
        <w:right w:val="none" w:sz="0" w:space="0" w:color="auto"/>
      </w:divBdr>
    </w:div>
    <w:div w:id="995690965">
      <w:bodyDiv w:val="1"/>
      <w:marLeft w:val="0"/>
      <w:marRight w:val="0"/>
      <w:marTop w:val="0"/>
      <w:marBottom w:val="0"/>
      <w:divBdr>
        <w:top w:val="none" w:sz="0" w:space="0" w:color="auto"/>
        <w:left w:val="none" w:sz="0" w:space="0" w:color="auto"/>
        <w:bottom w:val="none" w:sz="0" w:space="0" w:color="auto"/>
        <w:right w:val="none" w:sz="0" w:space="0" w:color="auto"/>
      </w:divBdr>
      <w:divsChild>
        <w:div w:id="1809084158">
          <w:marLeft w:val="0"/>
          <w:marRight w:val="0"/>
          <w:marTop w:val="0"/>
          <w:marBottom w:val="0"/>
          <w:divBdr>
            <w:top w:val="none" w:sz="0" w:space="0" w:color="auto"/>
            <w:left w:val="none" w:sz="0" w:space="0" w:color="auto"/>
            <w:bottom w:val="none" w:sz="0" w:space="0" w:color="auto"/>
            <w:right w:val="none" w:sz="0" w:space="0" w:color="auto"/>
          </w:divBdr>
          <w:divsChild>
            <w:div w:id="1807164811">
              <w:marLeft w:val="0"/>
              <w:marRight w:val="0"/>
              <w:marTop w:val="0"/>
              <w:marBottom w:val="0"/>
              <w:divBdr>
                <w:top w:val="none" w:sz="0" w:space="0" w:color="auto"/>
                <w:left w:val="none" w:sz="0" w:space="0" w:color="auto"/>
                <w:bottom w:val="none" w:sz="0" w:space="0" w:color="auto"/>
                <w:right w:val="none" w:sz="0" w:space="0" w:color="auto"/>
              </w:divBdr>
            </w:div>
            <w:div w:id="16751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kvan\application%20data\microsoft\templates\PwcTemplates\Not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Root xmlns="http://www.4DSystems.dk/ExportSchema.xsd" xmlns:X="http://www.4DSystems.dk/ExportSchema.xsd">
  <X:SectionHeader>
    <X:SysSetup>
      <X:Name>CurrentUser</X:Name>
      <X:Value>DKVAN</X:Value>
    </X:SysSetup>
  </X:SectionHeader>
  <X:SectionControls>
    <X:Control ValueCount="1">
      <X:ID>129</X:ID>
      <X:Name>CategoryList</X:Name>
      <X:Description>Category</X:Description>
      <X:Values>
        <X:SelectedValue DataType="Long">32</X:SelectedValue>
        <X:DisplayValue DataType="String">PwC</X:DisplayValue>
      </X:Values>
      <X:DataSource DataSourceType="SQL">
        <X:SQLQuery>SELECT CANo as Value, CAName as Text from Category Order by CAOrder ASC</X:SQLQuery>
      </X:DataSource>
    </X:Control>
    <X:Control ValueCount="1">
      <X:ID>130</X:ID>
      <X:Name>TemplateList</X:Name>
      <X:Description>Template</X:Description>
      <X:Values>
        <X:SelectedValue DataType="Long">11</X:SelectedValue>
        <X:DisplayValue DataType="String">Notat</X:DisplayValue>
      </X:Values>
      <X:DataSource DataSourceType="SQL">
        <X:SQLQuery>SELECT TENo as Value, TEName as Text from Template Where CANo=32</X:SQLQuery>
      </X:DataSource>
    </X:Control>
    <X:Control ValueCount="1">
      <X:ID>131</X:ID>
      <X:Name>UserList</X:Name>
      <X:Description>Userprofile</X:Description>
      <X:Values>
        <X:SelectedValue DataType="Long">7157</X:SelectedValue>
        <X:DisplayValue DataType="String">DKVAN</X:DisplayValue>
      </X:Values>
      <X:DataSource DataSourceType="SQL">
        <X:SQLQuery>SELECT USNo as Value, USInitials as Text from UserInfo</X:SQLQuery>
      </X:DataSource>
    </X:Control>
    <X:Control ValueCount="1">
      <X:ID>132</X:ID>
      <X:Name>LanguageList</X:Name>
      <X:Description>Language</X:Description>
      <X:Values>
        <X:SelectedValue DataType="Long">1030</X:SelectedValue>
        <X:DisplayValue DataType="String">DK</X:DisplayValue>
      </X:Values>
      <X:DataSource DataSourceType="SQL">
        <X:SQLQuery>SELECT LGNo as Value, LGName as Text from Language</X:SQLQuery>
      </X:DataSource>
    </X:Control>
    <X:Control ValueCount="1">
      <X:ID>166</X:ID>
      <X:Name>Title</X:Name>
      <X:Description>Title</X:Description>
      <X:Values>
        <X:SelectedValue DataType="String">DONG Energy El &amp; Gas A/S</X:SelectedValue>
        <X:DisplayValue DataType="String">DONG Energy El &amp; Gas A/S</X:DisplayValue>
      </X:Values>
      <X:DataSource DataSourceType="None"/>
    </X:Control>
    <X:Control ValueCount="1">
      <X:ID>167</X:ID>
      <X:Name>Subtitle</X:Name>
      <X:Description>Subtitle</X:Description>
      <X:Values>
        <X:SelectedValue DataType="String">Den uafhængige revisors erklæring om årsopgørelse til Energinet.dk for elsalg af individuelle elleverancer til slutkunder i regnskabsåret 2010</X:SelectedValue>
        <X:DisplayValue DataType="String">Den uafhængige revisors erklæring om årsopgørelse til Energinet.dk for elsalg af individuelle elleverancer til slutkunder i regnskabsåret 2010</X:DisplayValue>
      </X:Values>
      <X:DataSource DataSourceType="None"/>
    </X:Control>
  </X:SectionControls>
  <X:SectionRules/>
  <X:SectionMasterData/>
  <X:SectionDocParts/>
</X:Roo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B6F51-BE69-4142-A653-29CD72890CEA}">
  <ds:schemaRefs>
    <ds:schemaRef ds:uri="http://www.4DSystems.dk/ExportSchema.xsd"/>
  </ds:schemaRefs>
</ds:datastoreItem>
</file>

<file path=customXml/itemProps2.xml><?xml version="1.0" encoding="utf-8"?>
<ds:datastoreItem xmlns:ds="http://schemas.openxmlformats.org/officeDocument/2006/customXml" ds:itemID="{74504D01-EC84-4642-A8BC-F498016B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2</TotalTime>
  <Pages>2</Pages>
  <Words>740</Words>
  <Characters>4345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DKVAN</dc:creator>
  <cp:lastModifiedBy>Sofie Marie Skov</cp:lastModifiedBy>
  <cp:revision>4</cp:revision>
  <cp:lastPrinted>2020-06-26T11:14:00Z</cp:lastPrinted>
  <dcterms:created xsi:type="dcterms:W3CDTF">2022-12-13T09:18:00Z</dcterms:created>
  <dcterms:modified xsi:type="dcterms:W3CDTF">2022-12-13T09:33:00Z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19093984</vt:lpwstr>
  </property>
  <property fmtid="{D5CDD505-2E9C-101B-9397-08002B2CF9AE}" pid="3" name="PwC Version Number">
    <vt:lpwstr>2</vt:lpwstr>
  </property>
</Properties>
</file>