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5242"/>
        <w:gridCol w:w="4380"/>
      </w:tblGrid>
      <w:tr w:rsidR="00FC180B" w:rsidRPr="003156B2" w14:paraId="3034FB77" w14:textId="77777777" w:rsidTr="001857B0">
        <w:tc>
          <w:tcPr>
            <w:tcW w:w="0" w:type="auto"/>
            <w:vMerge w:val="restart"/>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3A081412" w14:textId="77777777" w:rsidR="003156B2" w:rsidRPr="003156B2" w:rsidRDefault="003156B2" w:rsidP="003156B2">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t>3.1.2 a) A detailed and comprehensive description of the different services and their charges</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62F6C6C9" w14:textId="6CC58356" w:rsidR="003156B2" w:rsidRPr="003156B2" w:rsidRDefault="005C1006" w:rsidP="003156B2">
            <w:pPr>
              <w:spacing w:after="0" w:line="240" w:lineRule="auto"/>
              <w:rPr>
                <w:rFonts w:eastAsia="Times New Roman" w:cstheme="minorHAnsi"/>
                <w:kern w:val="0"/>
                <w:sz w:val="24"/>
                <w:szCs w:val="24"/>
                <w:lang w:val="en-US" w:eastAsia="da-DK"/>
                <w14:ligatures w14:val="none"/>
              </w:rPr>
            </w:pPr>
            <w:hyperlink r:id="rId4" w:history="1">
              <w:r w:rsidR="003156B2">
                <w:rPr>
                  <w:rStyle w:val="Hyperlink"/>
                  <w:lang w:val="en-US"/>
                </w:rPr>
                <w:t>Services offered</w:t>
              </w:r>
            </w:hyperlink>
          </w:p>
        </w:tc>
      </w:tr>
      <w:tr w:rsidR="00FC180B" w:rsidRPr="007F6397" w14:paraId="3DDFC5A9" w14:textId="77777777" w:rsidTr="001857B0">
        <w:tc>
          <w:tcPr>
            <w:tcW w:w="0" w:type="auto"/>
            <w:vMerge/>
            <w:tcBorders>
              <w:top w:val="single" w:sz="6" w:space="0" w:color="auto"/>
              <w:left w:val="single" w:sz="6" w:space="0" w:color="auto"/>
              <w:bottom w:val="single" w:sz="6" w:space="0" w:color="auto"/>
              <w:right w:val="single" w:sz="6" w:space="0" w:color="auto"/>
            </w:tcBorders>
            <w:vAlign w:val="center"/>
            <w:hideMark/>
          </w:tcPr>
          <w:p w14:paraId="7B9FD407" w14:textId="77777777" w:rsidR="003156B2" w:rsidRPr="003156B2" w:rsidRDefault="003156B2" w:rsidP="003156B2">
            <w:pPr>
              <w:spacing w:after="0" w:line="240" w:lineRule="auto"/>
              <w:rPr>
                <w:rFonts w:eastAsia="Times New Roman" w:cstheme="minorHAnsi"/>
                <w:kern w:val="0"/>
                <w:sz w:val="24"/>
                <w:szCs w:val="24"/>
                <w:lang w:val="en-US" w:eastAsia="da-DK"/>
                <w14:ligatures w14:val="none"/>
              </w:rPr>
            </w:pP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3D95FB8B" w14:textId="3CE907D4" w:rsidR="003156B2" w:rsidRPr="003156B2" w:rsidRDefault="005C1006" w:rsidP="003156B2">
            <w:pPr>
              <w:spacing w:after="0" w:line="240" w:lineRule="auto"/>
              <w:rPr>
                <w:rFonts w:eastAsia="Times New Roman" w:cstheme="minorHAnsi"/>
                <w:kern w:val="0"/>
                <w:sz w:val="24"/>
                <w:szCs w:val="24"/>
                <w:lang w:val="en-US" w:eastAsia="da-DK"/>
                <w14:ligatures w14:val="none"/>
              </w:rPr>
            </w:pPr>
            <w:hyperlink r:id="rId5" w:history="1">
              <w:r w:rsidR="003156B2" w:rsidRPr="003156B2">
                <w:rPr>
                  <w:rStyle w:val="Hyperlink"/>
                  <w:lang w:val="en-US"/>
                </w:rPr>
                <w:t>The Danish Gas Market Model</w:t>
              </w:r>
            </w:hyperlink>
          </w:p>
        </w:tc>
      </w:tr>
      <w:tr w:rsidR="00FC180B" w:rsidRPr="003156B2" w14:paraId="5426BE34" w14:textId="77777777" w:rsidTr="001857B0">
        <w:tc>
          <w:tcPr>
            <w:tcW w:w="0" w:type="auto"/>
            <w:vMerge/>
            <w:tcBorders>
              <w:top w:val="single" w:sz="6" w:space="0" w:color="auto"/>
              <w:left w:val="single" w:sz="6" w:space="0" w:color="auto"/>
              <w:bottom w:val="single" w:sz="6" w:space="0" w:color="auto"/>
              <w:right w:val="single" w:sz="6" w:space="0" w:color="auto"/>
            </w:tcBorders>
            <w:vAlign w:val="center"/>
            <w:hideMark/>
          </w:tcPr>
          <w:p w14:paraId="4CAEA6C8" w14:textId="77777777" w:rsidR="003156B2" w:rsidRPr="003156B2" w:rsidRDefault="003156B2" w:rsidP="003156B2">
            <w:pPr>
              <w:spacing w:after="0" w:line="240" w:lineRule="auto"/>
              <w:rPr>
                <w:rFonts w:eastAsia="Times New Roman" w:cstheme="minorHAnsi"/>
                <w:kern w:val="0"/>
                <w:sz w:val="24"/>
                <w:szCs w:val="24"/>
                <w:lang w:val="en-US" w:eastAsia="da-DK"/>
                <w14:ligatures w14:val="none"/>
              </w:rPr>
            </w:pP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63411DF2" w14:textId="7988289A" w:rsidR="003156B2" w:rsidRPr="003156B2" w:rsidRDefault="005C1006" w:rsidP="003156B2">
            <w:pPr>
              <w:spacing w:after="0" w:line="240" w:lineRule="auto"/>
              <w:rPr>
                <w:rFonts w:eastAsia="Times New Roman" w:cstheme="minorHAnsi"/>
                <w:kern w:val="0"/>
                <w:sz w:val="24"/>
                <w:szCs w:val="24"/>
                <w:lang w:val="en-US" w:eastAsia="da-DK"/>
                <w14:ligatures w14:val="none"/>
              </w:rPr>
            </w:pPr>
            <w:hyperlink r:id="rId6" w:history="1">
              <w:r w:rsidR="00713C59">
                <w:rPr>
                  <w:rStyle w:val="Hyperlink"/>
                  <w:lang w:val="en-US"/>
                </w:rPr>
                <w:t>Tariffs and fees</w:t>
              </w:r>
            </w:hyperlink>
          </w:p>
        </w:tc>
      </w:tr>
      <w:tr w:rsidR="00FC180B" w:rsidRPr="003156B2" w14:paraId="3027CFB5" w14:textId="77777777" w:rsidTr="001857B0">
        <w:tc>
          <w:tcPr>
            <w:tcW w:w="0" w:type="auto"/>
            <w:vMerge w:val="restart"/>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4C472B93" w14:textId="77777777" w:rsidR="003156B2" w:rsidRPr="003156B2" w:rsidRDefault="003156B2" w:rsidP="003156B2">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t>3.1.2 b) u. c) 1. Different transportation contracts and other significant document</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4EC9D61C" w14:textId="02409172" w:rsidR="003156B2" w:rsidRPr="003156B2" w:rsidRDefault="005C1006" w:rsidP="003156B2">
            <w:pPr>
              <w:spacing w:after="100" w:afterAutospacing="1" w:line="390" w:lineRule="atLeast"/>
              <w:rPr>
                <w:rFonts w:eastAsia="Times New Roman" w:cstheme="minorHAnsi"/>
                <w:kern w:val="0"/>
                <w:sz w:val="24"/>
                <w:szCs w:val="24"/>
                <w:lang w:val="en-US" w:eastAsia="da-DK"/>
                <w14:ligatures w14:val="none"/>
              </w:rPr>
            </w:pPr>
            <w:hyperlink r:id="rId7" w:history="1">
              <w:r w:rsidR="00713C59">
                <w:rPr>
                  <w:rStyle w:val="Hyperlink"/>
                </w:rPr>
                <w:t>Terms and Conditions</w:t>
              </w:r>
            </w:hyperlink>
          </w:p>
        </w:tc>
      </w:tr>
      <w:tr w:rsidR="00FC180B" w:rsidRPr="007F6397" w14:paraId="7BE75511" w14:textId="77777777" w:rsidTr="001857B0">
        <w:tc>
          <w:tcPr>
            <w:tcW w:w="0" w:type="auto"/>
            <w:vMerge/>
            <w:tcBorders>
              <w:top w:val="single" w:sz="6" w:space="0" w:color="auto"/>
              <w:left w:val="single" w:sz="6" w:space="0" w:color="auto"/>
              <w:bottom w:val="single" w:sz="6" w:space="0" w:color="auto"/>
              <w:right w:val="single" w:sz="6" w:space="0" w:color="auto"/>
            </w:tcBorders>
            <w:vAlign w:val="center"/>
            <w:hideMark/>
          </w:tcPr>
          <w:p w14:paraId="02581CF0" w14:textId="77777777" w:rsidR="003156B2" w:rsidRPr="003156B2" w:rsidRDefault="003156B2" w:rsidP="003156B2">
            <w:pPr>
              <w:spacing w:after="0" w:line="240" w:lineRule="auto"/>
              <w:rPr>
                <w:rFonts w:eastAsia="Times New Roman" w:cstheme="minorHAnsi"/>
                <w:kern w:val="0"/>
                <w:sz w:val="24"/>
                <w:szCs w:val="24"/>
                <w:lang w:val="en-US" w:eastAsia="da-DK"/>
                <w14:ligatures w14:val="none"/>
              </w:rPr>
            </w:pP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095ACFEC" w14:textId="5FA546C1" w:rsidR="003156B2" w:rsidRPr="003156B2" w:rsidRDefault="005C1006" w:rsidP="003156B2">
            <w:pPr>
              <w:spacing w:after="0" w:line="240" w:lineRule="auto"/>
              <w:rPr>
                <w:rFonts w:eastAsia="Times New Roman" w:cstheme="minorHAnsi"/>
                <w:kern w:val="0"/>
                <w:sz w:val="24"/>
                <w:szCs w:val="24"/>
                <w:lang w:val="en-US" w:eastAsia="da-DK"/>
                <w14:ligatures w14:val="none"/>
              </w:rPr>
            </w:pPr>
            <w:hyperlink r:id="rId8" w:history="1">
              <w:r w:rsidR="00713C59" w:rsidRPr="00713C59">
                <w:rPr>
                  <w:rStyle w:val="Hyperlink"/>
                  <w:lang w:val="en-US"/>
                </w:rPr>
                <w:t>How to become a shipper</w:t>
              </w:r>
            </w:hyperlink>
          </w:p>
        </w:tc>
      </w:tr>
      <w:tr w:rsidR="00FC180B" w:rsidRPr="00CA5653" w14:paraId="463D1957" w14:textId="77777777" w:rsidTr="001857B0">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74B7772E" w14:textId="77777777" w:rsidR="003156B2" w:rsidRPr="003156B2" w:rsidRDefault="003156B2" w:rsidP="003156B2">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t>3.1.2 c) Network code / standard conditions</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17043A33" w14:textId="77777777" w:rsidR="003156B2" w:rsidRPr="005A003C" w:rsidRDefault="005C1006" w:rsidP="003156B2">
            <w:pPr>
              <w:spacing w:after="0" w:line="240" w:lineRule="auto"/>
              <w:rPr>
                <w:lang w:val="en-US"/>
              </w:rPr>
            </w:pPr>
            <w:hyperlink r:id="rId9" w:anchor="adopted-network-codes" w:history="1">
              <w:r w:rsidR="00CA5653" w:rsidRPr="00CA5653">
                <w:rPr>
                  <w:rStyle w:val="Hyperlink"/>
                  <w:lang w:val="en-US"/>
                </w:rPr>
                <w:t>Gas network codes (europa.eu)</w:t>
              </w:r>
            </w:hyperlink>
          </w:p>
          <w:p w14:paraId="6EEC2B4A" w14:textId="77777777" w:rsidR="00CA5653" w:rsidRDefault="00CA5653" w:rsidP="003156B2">
            <w:pPr>
              <w:spacing w:after="0" w:line="240" w:lineRule="auto"/>
              <w:rPr>
                <w:rFonts w:eastAsia="Times New Roman" w:cstheme="minorHAnsi"/>
                <w:kern w:val="0"/>
                <w:sz w:val="24"/>
                <w:szCs w:val="24"/>
                <w:lang w:val="en-US" w:eastAsia="da-DK"/>
                <w14:ligatures w14:val="none"/>
              </w:rPr>
            </w:pPr>
          </w:p>
          <w:p w14:paraId="3D64271B" w14:textId="067DF942" w:rsidR="00CA5653" w:rsidRPr="003156B2" w:rsidRDefault="005C1006" w:rsidP="003156B2">
            <w:pPr>
              <w:spacing w:after="0" w:line="240" w:lineRule="auto"/>
              <w:rPr>
                <w:rFonts w:eastAsia="Times New Roman" w:cstheme="minorHAnsi"/>
                <w:kern w:val="0"/>
                <w:sz w:val="24"/>
                <w:szCs w:val="24"/>
                <w:lang w:val="en-US" w:eastAsia="da-DK"/>
                <w14:ligatures w14:val="none"/>
              </w:rPr>
            </w:pPr>
            <w:hyperlink r:id="rId10" w:history="1">
              <w:r w:rsidR="00B607F4">
                <w:rPr>
                  <w:rStyle w:val="Hyperlink"/>
                </w:rPr>
                <w:t>Terms and conditions</w:t>
              </w:r>
            </w:hyperlink>
          </w:p>
        </w:tc>
      </w:tr>
      <w:tr w:rsidR="00FC180B" w:rsidRPr="00B607F4" w14:paraId="58F59A60" w14:textId="77777777" w:rsidTr="001857B0">
        <w:tc>
          <w:tcPr>
            <w:tcW w:w="0" w:type="auto"/>
            <w:tcBorders>
              <w:top w:val="single" w:sz="6" w:space="0" w:color="auto"/>
              <w:left w:val="single" w:sz="6" w:space="0" w:color="auto"/>
              <w:bottom w:val="single" w:sz="6" w:space="0" w:color="auto"/>
              <w:right w:val="single" w:sz="6" w:space="0" w:color="auto"/>
            </w:tcBorders>
            <w:vAlign w:val="center"/>
            <w:hideMark/>
          </w:tcPr>
          <w:p w14:paraId="02834707" w14:textId="29A5E71F" w:rsidR="003156B2" w:rsidRPr="006D43FC" w:rsidRDefault="00251357" w:rsidP="003156B2">
            <w:pPr>
              <w:spacing w:after="0" w:line="240" w:lineRule="auto"/>
              <w:rPr>
                <w:rFonts w:eastAsia="Times New Roman" w:cstheme="minorHAnsi"/>
                <w:kern w:val="0"/>
                <w:sz w:val="24"/>
                <w:szCs w:val="24"/>
                <w:lang w:val="en-US" w:eastAsia="da-DK"/>
                <w14:ligatures w14:val="none"/>
              </w:rPr>
            </w:pPr>
            <w:r>
              <w:rPr>
                <w:rFonts w:eastAsia="Times New Roman" w:cstheme="minorHAnsi"/>
                <w:kern w:val="0"/>
                <w:sz w:val="24"/>
                <w:szCs w:val="24"/>
                <w:lang w:val="en-US" w:eastAsia="da-DK"/>
                <w14:ligatures w14:val="none"/>
              </w:rPr>
              <w:t xml:space="preserve">     </w:t>
            </w:r>
            <w:r w:rsidRPr="003156B2">
              <w:rPr>
                <w:rFonts w:eastAsia="Times New Roman" w:cstheme="minorHAnsi"/>
                <w:kern w:val="0"/>
                <w:sz w:val="24"/>
                <w:szCs w:val="24"/>
                <w:lang w:val="en-US" w:eastAsia="da-DK"/>
                <w14:ligatures w14:val="none"/>
              </w:rPr>
              <w:t>3.1.2 c) 2. Specification of relevant gas quality parameters</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014897D6" w14:textId="344307A9" w:rsidR="003156B2" w:rsidRPr="00B607F4" w:rsidRDefault="005C1006" w:rsidP="003156B2">
            <w:pPr>
              <w:spacing w:after="0" w:line="240" w:lineRule="auto"/>
              <w:rPr>
                <w:rFonts w:eastAsia="Times New Roman" w:cstheme="minorHAnsi"/>
                <w:kern w:val="0"/>
                <w:sz w:val="24"/>
                <w:szCs w:val="24"/>
                <w:lang w:val="en-US" w:eastAsia="da-DK"/>
                <w14:ligatures w14:val="none"/>
              </w:rPr>
            </w:pPr>
            <w:hyperlink r:id="rId11" w:history="1">
              <w:r w:rsidR="00B607F4">
                <w:rPr>
                  <w:rStyle w:val="Hyperlink"/>
                  <w:lang w:val="en-US"/>
                </w:rPr>
                <w:t>Gas Quality in Denmark</w:t>
              </w:r>
            </w:hyperlink>
          </w:p>
        </w:tc>
      </w:tr>
      <w:tr w:rsidR="00FC180B" w:rsidRPr="003156B2" w14:paraId="5AE0EC81" w14:textId="77777777" w:rsidTr="001857B0">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61303719" w14:textId="77777777" w:rsidR="003156B2" w:rsidRPr="003156B2" w:rsidRDefault="003156B2" w:rsidP="003156B2">
            <w:pPr>
              <w:spacing w:after="0" w:line="240" w:lineRule="auto"/>
              <w:rPr>
                <w:rFonts w:eastAsia="Times New Roman" w:cstheme="minorHAnsi"/>
                <w:kern w:val="0"/>
                <w:sz w:val="24"/>
                <w:szCs w:val="24"/>
                <w:lang w:eastAsia="da-DK"/>
                <w14:ligatures w14:val="none"/>
              </w:rPr>
            </w:pPr>
            <w:r w:rsidRPr="003156B2">
              <w:rPr>
                <w:rFonts w:eastAsia="Times New Roman" w:cstheme="minorHAnsi"/>
                <w:kern w:val="0"/>
                <w:sz w:val="24"/>
                <w:szCs w:val="24"/>
                <w:lang w:eastAsia="da-DK"/>
                <w14:ligatures w14:val="none"/>
              </w:rPr>
              <w:t>3.1.2 c) 3. Pressure requirements</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11BEAC33" w14:textId="2CB1A2A6" w:rsidR="003156B2" w:rsidRPr="003156B2" w:rsidRDefault="005C1006" w:rsidP="003156B2">
            <w:pPr>
              <w:spacing w:after="0" w:line="240" w:lineRule="auto"/>
              <w:rPr>
                <w:rFonts w:eastAsia="Times New Roman" w:cstheme="minorHAnsi"/>
                <w:kern w:val="0"/>
                <w:sz w:val="24"/>
                <w:szCs w:val="24"/>
                <w:lang w:eastAsia="da-DK"/>
                <w14:ligatures w14:val="none"/>
              </w:rPr>
            </w:pPr>
            <w:hyperlink r:id="rId12" w:history="1">
              <w:r w:rsidR="009B5A82">
                <w:rPr>
                  <w:rStyle w:val="Hyperlink"/>
                  <w:lang w:val="en-US"/>
                </w:rPr>
                <w:t>Gas quality and pressure</w:t>
              </w:r>
            </w:hyperlink>
          </w:p>
        </w:tc>
      </w:tr>
      <w:tr w:rsidR="00FC180B" w:rsidRPr="007F6397" w14:paraId="417F99ED" w14:textId="77777777" w:rsidTr="001857B0">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01DDF1C0" w14:textId="77777777" w:rsidR="003156B2" w:rsidRPr="003156B2" w:rsidRDefault="003156B2" w:rsidP="003156B2">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t>3.1.2 c) 4. Procedure in the event of an interruption of interruptible capacity</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tcPr>
          <w:p w14:paraId="632B5E0A" w14:textId="688BA249" w:rsidR="003156B2" w:rsidRPr="00EB2110" w:rsidRDefault="005C1006" w:rsidP="003156B2">
            <w:pPr>
              <w:spacing w:after="0" w:line="240" w:lineRule="auto"/>
              <w:rPr>
                <w:color w:val="0000FF"/>
                <w:u w:val="single"/>
                <w:lang w:val="en-US"/>
              </w:rPr>
            </w:pPr>
            <w:hyperlink r:id="rId13" w:history="1">
              <w:r w:rsidR="00F41AE7" w:rsidRPr="00EB2110">
                <w:rPr>
                  <w:color w:val="0000FF"/>
                  <w:u w:val="single"/>
                  <w:lang w:val="en-US"/>
                </w:rPr>
                <w:t>Terms and conditions</w:t>
              </w:r>
            </w:hyperlink>
          </w:p>
          <w:p w14:paraId="39C1638B" w14:textId="77777777" w:rsidR="00C90E3A" w:rsidRPr="00EB2110" w:rsidRDefault="00C90E3A" w:rsidP="003156B2">
            <w:pPr>
              <w:spacing w:after="0" w:line="240" w:lineRule="auto"/>
              <w:rPr>
                <w:color w:val="0000FF"/>
                <w:u w:val="single"/>
                <w:lang w:val="en-US"/>
              </w:rPr>
            </w:pPr>
          </w:p>
          <w:p w14:paraId="3A9000E8" w14:textId="1B2899EB" w:rsidR="005A003C" w:rsidRPr="00C90E3A" w:rsidRDefault="00F41AE7" w:rsidP="003156B2">
            <w:pPr>
              <w:spacing w:after="0" w:line="240" w:lineRule="auto"/>
              <w:rPr>
                <w:rFonts w:eastAsia="Times New Roman" w:cstheme="minorHAnsi"/>
                <w:kern w:val="0"/>
                <w:lang w:val="en-US" w:eastAsia="da-DK"/>
                <w14:ligatures w14:val="none"/>
              </w:rPr>
            </w:pPr>
            <w:r w:rsidRPr="00DB0F43">
              <w:rPr>
                <w:rFonts w:eastAsia="Times New Roman" w:cstheme="minorHAnsi"/>
                <w:kern w:val="0"/>
                <w:u w:val="single"/>
                <w:lang w:val="en-US" w:eastAsia="da-DK"/>
                <w14:ligatures w14:val="none"/>
              </w:rPr>
              <w:t>Chapter 6.5.2 and 6.5.3</w:t>
            </w:r>
          </w:p>
        </w:tc>
      </w:tr>
      <w:tr w:rsidR="00FC180B" w:rsidRPr="007F6397" w14:paraId="703C46CA" w14:textId="77777777" w:rsidTr="001857B0">
        <w:tc>
          <w:tcPr>
            <w:tcW w:w="0" w:type="auto"/>
            <w:vMerge w:val="restart"/>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2ED7F0AB" w14:textId="77777777" w:rsidR="003156B2" w:rsidRPr="003156B2" w:rsidRDefault="003156B2" w:rsidP="003156B2">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t>3.1.2 d) Harmonised procedures applied when using the transmission system, including the definition of key terms</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2D389F19" w14:textId="773DE352" w:rsidR="003156B2" w:rsidRPr="00326C0F" w:rsidRDefault="005C1006" w:rsidP="003156B2">
            <w:pPr>
              <w:spacing w:after="0" w:line="240" w:lineRule="auto"/>
              <w:rPr>
                <w:rFonts w:eastAsia="Times New Roman" w:cstheme="minorHAnsi"/>
                <w:kern w:val="0"/>
                <w:sz w:val="24"/>
                <w:szCs w:val="24"/>
                <w:lang w:val="en-US" w:eastAsia="da-DK"/>
                <w14:ligatures w14:val="none"/>
              </w:rPr>
            </w:pPr>
            <w:hyperlink r:id="rId14" w:history="1">
              <w:r w:rsidR="006E6EA2" w:rsidRPr="00326C0F">
                <w:rPr>
                  <w:rStyle w:val="Hyperlink"/>
                  <w:lang w:val="en-US"/>
                </w:rPr>
                <w:t>Terms and Conditions</w:t>
              </w:r>
            </w:hyperlink>
            <w:r w:rsidR="00326C0F" w:rsidRPr="00326C0F">
              <w:rPr>
                <w:rStyle w:val="Hyperlink"/>
                <w:lang w:val="en-US"/>
              </w:rPr>
              <w:t xml:space="preserve"> on </w:t>
            </w:r>
            <w:r w:rsidR="00326C0F">
              <w:rPr>
                <w:rStyle w:val="Hyperlink"/>
                <w:lang w:val="en-US"/>
              </w:rPr>
              <w:t>harmonised procedures</w:t>
            </w:r>
          </w:p>
        </w:tc>
      </w:tr>
      <w:tr w:rsidR="00FC180B" w:rsidRPr="007F6397" w14:paraId="609F0E07" w14:textId="77777777" w:rsidTr="001857B0">
        <w:tc>
          <w:tcPr>
            <w:tcW w:w="0" w:type="auto"/>
            <w:vMerge/>
            <w:tcBorders>
              <w:top w:val="single" w:sz="6" w:space="0" w:color="auto"/>
              <w:left w:val="single" w:sz="6" w:space="0" w:color="auto"/>
              <w:bottom w:val="single" w:sz="6" w:space="0" w:color="auto"/>
              <w:right w:val="single" w:sz="6" w:space="0" w:color="auto"/>
            </w:tcBorders>
            <w:vAlign w:val="center"/>
            <w:hideMark/>
          </w:tcPr>
          <w:p w14:paraId="5374A2E0" w14:textId="77777777" w:rsidR="003156B2" w:rsidRPr="00326C0F" w:rsidRDefault="003156B2" w:rsidP="003156B2">
            <w:pPr>
              <w:spacing w:after="0" w:line="240" w:lineRule="auto"/>
              <w:rPr>
                <w:rFonts w:eastAsia="Times New Roman" w:cstheme="minorHAnsi"/>
                <w:kern w:val="0"/>
                <w:sz w:val="24"/>
                <w:szCs w:val="24"/>
                <w:lang w:val="en-US" w:eastAsia="da-DK"/>
                <w14:ligatures w14:val="none"/>
              </w:rPr>
            </w:pP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3C995001" w14:textId="1378EF53" w:rsidR="003156B2" w:rsidRPr="00326C0F" w:rsidRDefault="003156B2" w:rsidP="003156B2">
            <w:pPr>
              <w:spacing w:after="0" w:line="240" w:lineRule="auto"/>
              <w:rPr>
                <w:rFonts w:eastAsia="Times New Roman" w:cstheme="minorHAnsi"/>
                <w:kern w:val="0"/>
                <w:sz w:val="24"/>
                <w:szCs w:val="24"/>
                <w:lang w:val="en-US" w:eastAsia="da-DK"/>
                <w14:ligatures w14:val="none"/>
              </w:rPr>
            </w:pPr>
          </w:p>
        </w:tc>
      </w:tr>
      <w:tr w:rsidR="00FC180B" w:rsidRPr="003156B2" w14:paraId="41FD0F73" w14:textId="77777777" w:rsidTr="001857B0">
        <w:tc>
          <w:tcPr>
            <w:tcW w:w="0" w:type="auto"/>
            <w:vMerge w:val="restart"/>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50EA1050" w14:textId="77777777" w:rsidR="003156B2" w:rsidRPr="003156B2" w:rsidRDefault="003156B2" w:rsidP="003156B2">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t>3.1.2 e) Provisions on capacity allocation, congestion management and anti-hoarding and reutilisation procedures</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692816BC" w14:textId="094E648A" w:rsidR="003156B2" w:rsidRPr="003156B2" w:rsidRDefault="005C1006" w:rsidP="003156B2">
            <w:pPr>
              <w:spacing w:after="100" w:afterAutospacing="1" w:line="390" w:lineRule="atLeast"/>
              <w:rPr>
                <w:rFonts w:eastAsia="Times New Roman" w:cstheme="minorHAnsi"/>
                <w:kern w:val="0"/>
                <w:sz w:val="24"/>
                <w:szCs w:val="24"/>
                <w:lang w:eastAsia="da-DK"/>
                <w14:ligatures w14:val="none"/>
              </w:rPr>
            </w:pPr>
            <w:hyperlink r:id="rId15" w:history="1">
              <w:r w:rsidR="000862C7">
                <w:rPr>
                  <w:rStyle w:val="Hyperlink"/>
                </w:rPr>
                <w:t>Terms and Conditions</w:t>
              </w:r>
            </w:hyperlink>
            <w:r w:rsidR="00C92193">
              <w:rPr>
                <w:rStyle w:val="Hyperlink"/>
              </w:rPr>
              <w:t xml:space="preserve"> chapter 5</w:t>
            </w:r>
          </w:p>
        </w:tc>
      </w:tr>
      <w:tr w:rsidR="00FC180B" w:rsidRPr="007F6397" w14:paraId="4A35F6E7" w14:textId="77777777" w:rsidTr="001857B0">
        <w:tc>
          <w:tcPr>
            <w:tcW w:w="0" w:type="auto"/>
            <w:vMerge/>
            <w:tcBorders>
              <w:top w:val="single" w:sz="6" w:space="0" w:color="auto"/>
              <w:left w:val="single" w:sz="6" w:space="0" w:color="auto"/>
              <w:bottom w:val="single" w:sz="6" w:space="0" w:color="auto"/>
              <w:right w:val="single" w:sz="6" w:space="0" w:color="auto"/>
            </w:tcBorders>
            <w:vAlign w:val="center"/>
            <w:hideMark/>
          </w:tcPr>
          <w:p w14:paraId="244690DC" w14:textId="77777777" w:rsidR="003156B2" w:rsidRPr="003156B2" w:rsidRDefault="003156B2" w:rsidP="003156B2">
            <w:pPr>
              <w:spacing w:after="0" w:line="240" w:lineRule="auto"/>
              <w:rPr>
                <w:rFonts w:eastAsia="Times New Roman" w:cstheme="minorHAnsi"/>
                <w:kern w:val="0"/>
                <w:sz w:val="24"/>
                <w:szCs w:val="24"/>
                <w:lang w:eastAsia="da-DK"/>
                <w14:ligatures w14:val="none"/>
              </w:rPr>
            </w:pP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423018D8" w14:textId="5FD2A3EE" w:rsidR="003156B2" w:rsidRPr="003156B2" w:rsidRDefault="005C1006" w:rsidP="003156B2">
            <w:pPr>
              <w:spacing w:after="0" w:line="240" w:lineRule="auto"/>
              <w:rPr>
                <w:rFonts w:eastAsia="Times New Roman" w:cstheme="minorHAnsi"/>
                <w:kern w:val="0"/>
                <w:sz w:val="24"/>
                <w:szCs w:val="24"/>
                <w:lang w:val="en-US" w:eastAsia="da-DK"/>
                <w14:ligatures w14:val="none"/>
              </w:rPr>
            </w:pPr>
            <w:hyperlink r:id="rId16" w:history="1">
              <w:r w:rsidR="007F7827">
                <w:rPr>
                  <w:color w:val="0000FF"/>
                  <w:u w:val="single"/>
                  <w:lang w:val="en-US"/>
                </w:rPr>
                <w:t>Capacity, nomination, allocation and balancing</w:t>
              </w:r>
            </w:hyperlink>
          </w:p>
        </w:tc>
      </w:tr>
      <w:tr w:rsidR="00FC180B" w:rsidRPr="007F6397" w14:paraId="545136FC" w14:textId="77777777" w:rsidTr="001857B0">
        <w:tc>
          <w:tcPr>
            <w:tcW w:w="0" w:type="auto"/>
            <w:vMerge w:val="restart"/>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134DCCFE" w14:textId="77777777" w:rsidR="003156B2" w:rsidRPr="003156B2" w:rsidRDefault="003156B2" w:rsidP="003156B2">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t>3.1.2 f) Rules applicable for capacity trade on the secondary market vis-à-vis the transmission system operator</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tcPr>
          <w:p w14:paraId="2ABDF448" w14:textId="3767F643" w:rsidR="003156B2" w:rsidRPr="003156B2" w:rsidRDefault="003156B2" w:rsidP="003156B2">
            <w:pPr>
              <w:spacing w:after="0" w:line="240" w:lineRule="auto"/>
              <w:rPr>
                <w:rFonts w:eastAsia="Times New Roman" w:cstheme="minorHAnsi"/>
                <w:kern w:val="0"/>
                <w:sz w:val="24"/>
                <w:szCs w:val="24"/>
                <w:lang w:val="en-US" w:eastAsia="da-DK"/>
                <w14:ligatures w14:val="none"/>
              </w:rPr>
            </w:pPr>
          </w:p>
        </w:tc>
      </w:tr>
      <w:tr w:rsidR="00FC180B" w:rsidRPr="007F6397" w14:paraId="5A84BD8D" w14:textId="77777777" w:rsidTr="001857B0">
        <w:tc>
          <w:tcPr>
            <w:tcW w:w="0" w:type="auto"/>
            <w:vMerge/>
            <w:tcBorders>
              <w:top w:val="single" w:sz="6" w:space="0" w:color="auto"/>
              <w:left w:val="single" w:sz="6" w:space="0" w:color="auto"/>
              <w:bottom w:val="single" w:sz="6" w:space="0" w:color="auto"/>
              <w:right w:val="single" w:sz="6" w:space="0" w:color="auto"/>
            </w:tcBorders>
            <w:vAlign w:val="center"/>
            <w:hideMark/>
          </w:tcPr>
          <w:p w14:paraId="4AB750AA" w14:textId="77777777" w:rsidR="003156B2" w:rsidRPr="003156B2" w:rsidRDefault="003156B2" w:rsidP="003156B2">
            <w:pPr>
              <w:spacing w:after="0" w:line="240" w:lineRule="auto"/>
              <w:rPr>
                <w:rFonts w:eastAsia="Times New Roman" w:cstheme="minorHAnsi"/>
                <w:kern w:val="0"/>
                <w:sz w:val="24"/>
                <w:szCs w:val="24"/>
                <w:lang w:val="en-US" w:eastAsia="da-DK"/>
                <w14:ligatures w14:val="none"/>
              </w:rPr>
            </w:pP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759E71E8" w14:textId="009D8E47" w:rsidR="003156B2" w:rsidRPr="003156B2" w:rsidRDefault="005C1006" w:rsidP="003156B2">
            <w:pPr>
              <w:spacing w:after="0" w:line="240" w:lineRule="auto"/>
              <w:rPr>
                <w:rFonts w:eastAsia="Times New Roman" w:cstheme="minorHAnsi"/>
                <w:kern w:val="0"/>
                <w:sz w:val="24"/>
                <w:szCs w:val="24"/>
                <w:lang w:val="en-US" w:eastAsia="da-DK"/>
                <w14:ligatures w14:val="none"/>
              </w:rPr>
            </w:pPr>
            <w:hyperlink r:id="rId17" w:history="1">
              <w:r w:rsidR="009E31F5">
                <w:rPr>
                  <w:color w:val="0000FF"/>
                  <w:u w:val="single"/>
                  <w:lang w:val="en-US"/>
                </w:rPr>
                <w:t>Capacity, nomination, allocation and balancing</w:t>
              </w:r>
            </w:hyperlink>
          </w:p>
        </w:tc>
      </w:tr>
      <w:tr w:rsidR="00FC180B" w:rsidRPr="003156B2" w14:paraId="589D46FA" w14:textId="77777777" w:rsidTr="001857B0">
        <w:tc>
          <w:tcPr>
            <w:tcW w:w="0" w:type="auto"/>
            <w:vMerge w:val="restart"/>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3168B632" w14:textId="77777777" w:rsidR="003156B2" w:rsidRPr="003156B2" w:rsidRDefault="003156B2" w:rsidP="003156B2">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lastRenderedPageBreak/>
              <w:t>3.1.2 g) Rules on balancing and methodology for the calculation of imbalance charges</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19226C31" w14:textId="38BF7D93" w:rsidR="003156B2" w:rsidRPr="003156B2" w:rsidRDefault="005C1006" w:rsidP="003156B2">
            <w:pPr>
              <w:spacing w:after="0" w:line="240" w:lineRule="auto"/>
              <w:rPr>
                <w:rFonts w:eastAsia="Times New Roman" w:cstheme="minorHAnsi"/>
                <w:kern w:val="0"/>
                <w:sz w:val="24"/>
                <w:szCs w:val="24"/>
                <w:lang w:eastAsia="da-DK"/>
                <w14:ligatures w14:val="none"/>
              </w:rPr>
            </w:pPr>
            <w:hyperlink r:id="rId18" w:history="1">
              <w:r w:rsidR="00387679">
                <w:rPr>
                  <w:rStyle w:val="Hyperlink"/>
                </w:rPr>
                <w:t>Gas balancing model</w:t>
              </w:r>
            </w:hyperlink>
          </w:p>
        </w:tc>
      </w:tr>
      <w:tr w:rsidR="00FC180B" w:rsidRPr="007225F3" w14:paraId="7742D72C" w14:textId="77777777" w:rsidTr="001857B0">
        <w:tc>
          <w:tcPr>
            <w:tcW w:w="0" w:type="auto"/>
            <w:vMerge/>
            <w:tcBorders>
              <w:top w:val="single" w:sz="6" w:space="0" w:color="auto"/>
              <w:left w:val="single" w:sz="6" w:space="0" w:color="auto"/>
              <w:bottom w:val="single" w:sz="6" w:space="0" w:color="auto"/>
              <w:right w:val="single" w:sz="6" w:space="0" w:color="auto"/>
            </w:tcBorders>
            <w:vAlign w:val="center"/>
            <w:hideMark/>
          </w:tcPr>
          <w:p w14:paraId="24B8C0FC" w14:textId="77777777" w:rsidR="003156B2" w:rsidRPr="003156B2" w:rsidRDefault="003156B2" w:rsidP="003156B2">
            <w:pPr>
              <w:spacing w:after="0" w:line="240" w:lineRule="auto"/>
              <w:rPr>
                <w:rFonts w:eastAsia="Times New Roman" w:cstheme="minorHAnsi"/>
                <w:kern w:val="0"/>
                <w:sz w:val="24"/>
                <w:szCs w:val="24"/>
                <w:lang w:eastAsia="da-DK"/>
                <w14:ligatures w14:val="none"/>
              </w:rPr>
            </w:pP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5ED0470E" w14:textId="04A8455C" w:rsidR="003156B2" w:rsidRPr="007225F3" w:rsidRDefault="005C1006" w:rsidP="003156B2">
            <w:pPr>
              <w:spacing w:after="0" w:line="240" w:lineRule="auto"/>
              <w:rPr>
                <w:rFonts w:eastAsia="Times New Roman" w:cstheme="minorHAnsi"/>
                <w:kern w:val="0"/>
                <w:sz w:val="24"/>
                <w:szCs w:val="24"/>
                <w:lang w:eastAsia="da-DK"/>
                <w14:ligatures w14:val="none"/>
              </w:rPr>
            </w:pPr>
            <w:hyperlink r:id="rId19" w:history="1">
              <w:r w:rsidR="00385014">
                <w:rPr>
                  <w:color w:val="0000FF"/>
                  <w:u w:val="single"/>
                </w:rPr>
                <w:t>Methodology Danish Balance model</w:t>
              </w:r>
            </w:hyperlink>
          </w:p>
        </w:tc>
      </w:tr>
      <w:tr w:rsidR="00FC180B" w:rsidRPr="005A003C" w14:paraId="5FA03916" w14:textId="77777777" w:rsidTr="001857B0">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5A45B32F" w14:textId="77777777" w:rsidR="003156B2" w:rsidRPr="003156B2" w:rsidRDefault="003156B2" w:rsidP="003156B2">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t>3.1.2. h) Flexibility and tolerance levels included in transportation and with additional charges</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6C5DA56D" w14:textId="3C3F2FA8" w:rsidR="003156B2" w:rsidRPr="003156B2" w:rsidRDefault="00BE2097" w:rsidP="003156B2">
            <w:pPr>
              <w:spacing w:after="100" w:afterAutospacing="1" w:line="390" w:lineRule="atLeast"/>
              <w:rPr>
                <w:rFonts w:eastAsia="Times New Roman" w:cstheme="minorHAnsi"/>
                <w:kern w:val="0"/>
                <w:sz w:val="24"/>
                <w:szCs w:val="24"/>
                <w:lang w:val="en-US" w:eastAsia="da-DK"/>
                <w14:ligatures w14:val="none"/>
              </w:rPr>
            </w:pPr>
            <w:r>
              <w:rPr>
                <w:rFonts w:eastAsia="Times New Roman" w:cstheme="minorHAnsi"/>
                <w:kern w:val="0"/>
                <w:sz w:val="24"/>
                <w:szCs w:val="24"/>
                <w:lang w:val="en-US" w:eastAsia="da-DK"/>
                <w14:ligatures w14:val="none"/>
              </w:rPr>
              <w:t>N</w:t>
            </w:r>
            <w:r>
              <w:rPr>
                <w:rFonts w:eastAsia="Times New Roman" w:cstheme="minorHAnsi"/>
                <w:kern w:val="0"/>
                <w:sz w:val="24"/>
                <w:szCs w:val="24"/>
                <w:lang w:eastAsia="da-DK"/>
                <w14:ligatures w14:val="none"/>
              </w:rPr>
              <w:t>/A</w:t>
            </w:r>
          </w:p>
        </w:tc>
      </w:tr>
      <w:tr w:rsidR="00FC180B" w:rsidRPr="007F6397" w14:paraId="07087080" w14:textId="77777777" w:rsidTr="001857B0">
        <w:tc>
          <w:tcPr>
            <w:tcW w:w="0" w:type="auto"/>
            <w:vMerge w:val="restart"/>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20BAEFD0" w14:textId="77777777" w:rsidR="003156B2" w:rsidRPr="003156B2" w:rsidRDefault="003156B2" w:rsidP="003156B2">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t>3.1.2 i) Detailed description of the gas system of TSO and its relevant points of interconnection / names of the operators of the interconnected systems or facilities</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3E8ECAD7" w14:textId="20223C34" w:rsidR="003156B2" w:rsidRPr="003156B2" w:rsidRDefault="005C1006" w:rsidP="003156B2">
            <w:pPr>
              <w:spacing w:after="0" w:line="240" w:lineRule="auto"/>
              <w:rPr>
                <w:rFonts w:eastAsia="Times New Roman" w:cstheme="minorHAnsi"/>
                <w:kern w:val="0"/>
                <w:sz w:val="24"/>
                <w:szCs w:val="24"/>
                <w:lang w:val="en-US" w:eastAsia="da-DK"/>
                <w14:ligatures w14:val="none"/>
              </w:rPr>
            </w:pPr>
            <w:hyperlink r:id="rId20" w:history="1">
              <w:r w:rsidR="00790036" w:rsidRPr="00790036">
                <w:rPr>
                  <w:rStyle w:val="Hyperlink"/>
                  <w:lang w:val="en-US"/>
                </w:rPr>
                <w:t>The Danish Gas Market Model</w:t>
              </w:r>
            </w:hyperlink>
          </w:p>
        </w:tc>
      </w:tr>
      <w:tr w:rsidR="00FC180B" w:rsidRPr="003156B2" w14:paraId="64AC25FF" w14:textId="77777777" w:rsidTr="001857B0">
        <w:tc>
          <w:tcPr>
            <w:tcW w:w="0" w:type="auto"/>
            <w:vMerge/>
            <w:tcBorders>
              <w:top w:val="single" w:sz="6" w:space="0" w:color="auto"/>
              <w:left w:val="single" w:sz="6" w:space="0" w:color="auto"/>
              <w:bottom w:val="single" w:sz="6" w:space="0" w:color="auto"/>
              <w:right w:val="single" w:sz="6" w:space="0" w:color="auto"/>
            </w:tcBorders>
            <w:vAlign w:val="center"/>
            <w:hideMark/>
          </w:tcPr>
          <w:p w14:paraId="69D0A288" w14:textId="77777777" w:rsidR="003156B2" w:rsidRPr="003156B2" w:rsidRDefault="003156B2" w:rsidP="003156B2">
            <w:pPr>
              <w:spacing w:after="0" w:line="240" w:lineRule="auto"/>
              <w:rPr>
                <w:rFonts w:eastAsia="Times New Roman" w:cstheme="minorHAnsi"/>
                <w:kern w:val="0"/>
                <w:sz w:val="24"/>
                <w:szCs w:val="24"/>
                <w:lang w:val="en-US" w:eastAsia="da-DK"/>
                <w14:ligatures w14:val="none"/>
              </w:rPr>
            </w:pP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tcPr>
          <w:p w14:paraId="03F838EA" w14:textId="325CDD88" w:rsidR="003156B2" w:rsidRPr="003156B2" w:rsidRDefault="005C1006" w:rsidP="003156B2">
            <w:pPr>
              <w:spacing w:after="0" w:line="240" w:lineRule="auto"/>
              <w:rPr>
                <w:rFonts w:eastAsia="Times New Roman" w:cstheme="minorHAnsi"/>
                <w:kern w:val="0"/>
                <w:sz w:val="24"/>
                <w:szCs w:val="24"/>
                <w:lang w:eastAsia="da-DK"/>
                <w14:ligatures w14:val="none"/>
              </w:rPr>
            </w:pPr>
            <w:hyperlink r:id="rId21" w:history="1">
              <w:r w:rsidR="00291671">
                <w:rPr>
                  <w:color w:val="0000FF"/>
                  <w:u w:val="single"/>
                </w:rPr>
                <w:t>Adjacent partners</w:t>
              </w:r>
            </w:hyperlink>
          </w:p>
        </w:tc>
      </w:tr>
      <w:tr w:rsidR="00FC180B" w:rsidRPr="003156B2" w14:paraId="30DA73C6" w14:textId="77777777" w:rsidTr="001857B0">
        <w:tc>
          <w:tcPr>
            <w:tcW w:w="0" w:type="auto"/>
            <w:vMerge/>
            <w:tcBorders>
              <w:top w:val="single" w:sz="6" w:space="0" w:color="auto"/>
              <w:left w:val="single" w:sz="6" w:space="0" w:color="auto"/>
              <w:bottom w:val="single" w:sz="6" w:space="0" w:color="auto"/>
              <w:right w:val="single" w:sz="6" w:space="0" w:color="auto"/>
            </w:tcBorders>
            <w:vAlign w:val="center"/>
            <w:hideMark/>
          </w:tcPr>
          <w:p w14:paraId="3B3AA24C" w14:textId="77777777" w:rsidR="003156B2" w:rsidRPr="003156B2" w:rsidRDefault="003156B2" w:rsidP="003156B2">
            <w:pPr>
              <w:spacing w:after="0" w:line="240" w:lineRule="auto"/>
              <w:rPr>
                <w:rFonts w:eastAsia="Times New Roman" w:cstheme="minorHAnsi"/>
                <w:kern w:val="0"/>
                <w:sz w:val="24"/>
                <w:szCs w:val="24"/>
                <w:lang w:eastAsia="da-DK"/>
                <w14:ligatures w14:val="none"/>
              </w:rPr>
            </w:pP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5370FE59" w14:textId="6AC085BC" w:rsidR="003156B2" w:rsidRPr="003156B2" w:rsidRDefault="003156B2" w:rsidP="003156B2">
            <w:pPr>
              <w:spacing w:after="0" w:line="240" w:lineRule="auto"/>
              <w:rPr>
                <w:rFonts w:eastAsia="Times New Roman" w:cstheme="minorHAnsi"/>
                <w:kern w:val="0"/>
                <w:sz w:val="24"/>
                <w:szCs w:val="24"/>
                <w:lang w:eastAsia="da-DK"/>
                <w14:ligatures w14:val="none"/>
              </w:rPr>
            </w:pPr>
          </w:p>
        </w:tc>
      </w:tr>
      <w:tr w:rsidR="00FC180B" w:rsidRPr="007F6397" w14:paraId="037DE3FA" w14:textId="77777777" w:rsidTr="00054828">
        <w:trPr>
          <w:trHeight w:val="20"/>
        </w:trPr>
        <w:tc>
          <w:tcPr>
            <w:tcW w:w="0" w:type="auto"/>
            <w:vMerge w:val="restart"/>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47984BCB" w14:textId="77777777" w:rsidR="003156B2" w:rsidRPr="003156B2" w:rsidRDefault="003156B2" w:rsidP="003156B2">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t>3.1.2 j) Rules applicable for connection to the system  </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38A094EC" w14:textId="69C49C52" w:rsidR="003156B2" w:rsidRPr="00093DEB" w:rsidRDefault="003156B2" w:rsidP="003156B2">
            <w:pPr>
              <w:spacing w:after="0" w:line="240" w:lineRule="auto"/>
              <w:rPr>
                <w:rFonts w:eastAsia="Times New Roman" w:cstheme="minorHAnsi"/>
                <w:kern w:val="0"/>
                <w:sz w:val="24"/>
                <w:szCs w:val="24"/>
                <w:lang w:val="en-US" w:eastAsia="da-DK"/>
                <w14:ligatures w14:val="none"/>
              </w:rPr>
            </w:pPr>
          </w:p>
        </w:tc>
      </w:tr>
      <w:tr w:rsidR="00FC180B" w:rsidRPr="005A003C" w14:paraId="03704D9B" w14:textId="77777777" w:rsidTr="00B70A28">
        <w:trPr>
          <w:cantSplit/>
          <w:trHeight w:val="661"/>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F9F90D1" w14:textId="77777777" w:rsidR="003156B2" w:rsidRPr="00093DEB" w:rsidRDefault="003156B2" w:rsidP="003156B2">
            <w:pPr>
              <w:spacing w:after="0" w:line="240" w:lineRule="auto"/>
              <w:rPr>
                <w:rFonts w:eastAsia="Times New Roman" w:cstheme="minorHAnsi"/>
                <w:kern w:val="0"/>
                <w:sz w:val="24"/>
                <w:szCs w:val="24"/>
                <w:lang w:val="en-US" w:eastAsia="da-DK"/>
                <w14:ligatures w14:val="none"/>
              </w:rPr>
            </w:pP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6A7AA71D" w14:textId="77777777" w:rsidR="003156B2" w:rsidRPr="007F6397" w:rsidRDefault="005C1006" w:rsidP="003156B2">
            <w:pPr>
              <w:spacing w:after="0" w:line="240" w:lineRule="auto"/>
              <w:rPr>
                <w:rStyle w:val="Hyperlink"/>
                <w:lang w:val="en-US"/>
              </w:rPr>
            </w:pPr>
            <w:hyperlink r:id="rId22" w:history="1">
              <w:r w:rsidR="001E3D92" w:rsidRPr="007F6397">
                <w:rPr>
                  <w:rStyle w:val="Hyperlink"/>
                  <w:lang w:val="en-US"/>
                </w:rPr>
                <w:t>Terms and Conditions</w:t>
              </w:r>
            </w:hyperlink>
          </w:p>
          <w:p w14:paraId="06BA3552" w14:textId="77777777" w:rsidR="001E3D92" w:rsidRDefault="001E3D92" w:rsidP="003156B2">
            <w:pPr>
              <w:spacing w:after="0" w:line="240" w:lineRule="auto"/>
              <w:rPr>
                <w:rFonts w:eastAsia="Times New Roman" w:cstheme="minorHAnsi"/>
                <w:kern w:val="0"/>
                <w:sz w:val="24"/>
                <w:szCs w:val="24"/>
                <w:lang w:val="en-US" w:eastAsia="da-DK"/>
                <w14:ligatures w14:val="none"/>
              </w:rPr>
            </w:pPr>
          </w:p>
          <w:p w14:paraId="16D1B237" w14:textId="77777777" w:rsidR="00B81E1C" w:rsidRDefault="00B81E1C" w:rsidP="003156B2">
            <w:pPr>
              <w:spacing w:after="0" w:line="240" w:lineRule="auto"/>
              <w:rPr>
                <w:rFonts w:eastAsia="Times New Roman" w:cstheme="minorHAnsi"/>
                <w:kern w:val="0"/>
                <w:sz w:val="24"/>
                <w:szCs w:val="24"/>
                <w:lang w:val="en-US" w:eastAsia="da-DK"/>
                <w14:ligatures w14:val="none"/>
              </w:rPr>
            </w:pPr>
          </w:p>
          <w:p w14:paraId="77834EBB" w14:textId="002E99DF" w:rsidR="00093DEB" w:rsidRPr="00245F70" w:rsidRDefault="00093DEB" w:rsidP="003156B2">
            <w:pPr>
              <w:spacing w:after="0" w:line="240" w:lineRule="auto"/>
              <w:rPr>
                <w:rFonts w:eastAsia="Times New Roman" w:cstheme="minorHAnsi"/>
                <w:kern w:val="0"/>
                <w:sz w:val="24"/>
                <w:szCs w:val="24"/>
                <w:lang w:val="en-US" w:eastAsia="da-DK"/>
                <w14:ligatures w14:val="none"/>
              </w:rPr>
            </w:pPr>
          </w:p>
        </w:tc>
      </w:tr>
      <w:tr w:rsidR="006E42E3" w:rsidRPr="00431DDC" w14:paraId="7B148E5D" w14:textId="77777777" w:rsidTr="001857B0">
        <w:tc>
          <w:tcPr>
            <w:tcW w:w="0" w:type="auto"/>
            <w:vMerge w:val="restart"/>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1C897EFF" w14:textId="77777777" w:rsidR="006E42E3" w:rsidRPr="003156B2" w:rsidRDefault="006E42E3" w:rsidP="003156B2">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t>3.1.2 k) Information on emergency mechanisms</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26749854" w14:textId="2680CEA6" w:rsidR="00431DDC" w:rsidRPr="00431DDC" w:rsidRDefault="005C1006" w:rsidP="00431DDC">
            <w:pPr>
              <w:rPr>
                <w:lang w:val="en-US"/>
              </w:rPr>
            </w:pPr>
            <w:hyperlink r:id="rId23" w:history="1">
              <w:r w:rsidR="00431DDC">
                <w:rPr>
                  <w:rStyle w:val="Hyperlink"/>
                  <w:lang w:val="en-US"/>
                </w:rPr>
                <w:t>Security of supply</w:t>
              </w:r>
            </w:hyperlink>
          </w:p>
          <w:p w14:paraId="61D9C983" w14:textId="621ADEFE" w:rsidR="006E42E3" w:rsidRPr="00431DDC" w:rsidRDefault="006E42E3" w:rsidP="003156B2">
            <w:pPr>
              <w:spacing w:after="0" w:line="240" w:lineRule="auto"/>
              <w:rPr>
                <w:rFonts w:eastAsia="Times New Roman" w:cstheme="minorHAnsi"/>
                <w:kern w:val="0"/>
                <w:sz w:val="24"/>
                <w:szCs w:val="24"/>
                <w:lang w:val="en-US" w:eastAsia="da-DK"/>
                <w14:ligatures w14:val="none"/>
              </w:rPr>
            </w:pPr>
          </w:p>
        </w:tc>
      </w:tr>
      <w:tr w:rsidR="006E42E3" w:rsidRPr="007F6397" w14:paraId="2A05F377" w14:textId="77777777" w:rsidTr="001857B0">
        <w:tc>
          <w:tcPr>
            <w:tcW w:w="0" w:type="auto"/>
            <w:vMerge/>
            <w:tcBorders>
              <w:top w:val="single" w:sz="6" w:space="0" w:color="auto"/>
              <w:left w:val="single" w:sz="6" w:space="0" w:color="auto"/>
              <w:bottom w:val="single" w:sz="6" w:space="0" w:color="auto"/>
              <w:right w:val="single" w:sz="6" w:space="0" w:color="auto"/>
            </w:tcBorders>
            <w:vAlign w:val="center"/>
            <w:hideMark/>
          </w:tcPr>
          <w:p w14:paraId="5EA67594" w14:textId="77777777" w:rsidR="006E42E3" w:rsidRPr="00431DDC" w:rsidRDefault="006E42E3" w:rsidP="003156B2">
            <w:pPr>
              <w:spacing w:after="0" w:line="240" w:lineRule="auto"/>
              <w:rPr>
                <w:rFonts w:eastAsia="Times New Roman" w:cstheme="minorHAnsi"/>
                <w:kern w:val="0"/>
                <w:sz w:val="24"/>
                <w:szCs w:val="24"/>
                <w:lang w:val="en-US" w:eastAsia="da-DK"/>
                <w14:ligatures w14:val="none"/>
              </w:rPr>
            </w:pP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32F988E8" w14:textId="1F77EE24" w:rsidR="006E42E3" w:rsidRPr="00431DDC" w:rsidRDefault="005C1006" w:rsidP="003156B2">
            <w:pPr>
              <w:spacing w:after="0" w:line="240" w:lineRule="auto"/>
              <w:rPr>
                <w:rFonts w:eastAsia="Times New Roman" w:cstheme="minorHAnsi"/>
                <w:kern w:val="0"/>
                <w:sz w:val="24"/>
                <w:szCs w:val="24"/>
                <w:lang w:val="en-US" w:eastAsia="da-DK"/>
                <w14:ligatures w14:val="none"/>
              </w:rPr>
            </w:pPr>
            <w:hyperlink r:id="rId24" w:history="1">
              <w:r w:rsidR="00431DDC" w:rsidRPr="00431DDC">
                <w:rPr>
                  <w:rStyle w:val="Hyperlink"/>
                  <w:lang w:val="en-US"/>
                </w:rPr>
                <w:t>Terms and conditions</w:t>
              </w:r>
            </w:hyperlink>
            <w:r w:rsidR="00431DDC" w:rsidRPr="00431DDC">
              <w:rPr>
                <w:rStyle w:val="Hyperlink"/>
                <w:lang w:val="en-US"/>
              </w:rPr>
              <w:t xml:space="preserve"> chapter 15 a</w:t>
            </w:r>
            <w:r w:rsidR="00431DDC">
              <w:rPr>
                <w:rStyle w:val="Hyperlink"/>
                <w:lang w:val="en-US"/>
              </w:rPr>
              <w:t>nd 16</w:t>
            </w:r>
          </w:p>
        </w:tc>
      </w:tr>
      <w:tr w:rsidR="006E42E3" w:rsidRPr="007F6397" w14:paraId="2C930D19" w14:textId="77777777" w:rsidTr="001857B0">
        <w:tc>
          <w:tcPr>
            <w:tcW w:w="0" w:type="auto"/>
            <w:vMerge w:val="restart"/>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24A44C21" w14:textId="77777777" w:rsidR="006E42E3" w:rsidRPr="003156B2" w:rsidRDefault="006E42E3" w:rsidP="003156B2">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t>3.1.2 l) Procedures agreed at interconnection points (if relevant) relating to interoperability of the network, agreed procedures on nomination and matching procedures and other agreed procedures that set out provisions in relation to gas flow allocations and balancing</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093C5A21" w14:textId="70377D4E" w:rsidR="00B0504A" w:rsidRPr="007F6397" w:rsidRDefault="005C1006" w:rsidP="00B0504A">
            <w:pPr>
              <w:rPr>
                <w:rStyle w:val="Hyperlink"/>
                <w:lang w:val="en-US"/>
              </w:rPr>
            </w:pPr>
            <w:hyperlink r:id="rId25" w:history="1">
              <w:r w:rsidR="005640AA">
                <w:rPr>
                  <w:rStyle w:val="Hyperlink"/>
                  <w:lang w:val="en-US"/>
                </w:rPr>
                <w:t>Terms and conditions chapter 6</w:t>
              </w:r>
            </w:hyperlink>
          </w:p>
          <w:p w14:paraId="53B73159" w14:textId="77777777" w:rsidR="004D0895" w:rsidRDefault="004D0895" w:rsidP="00B0504A">
            <w:pPr>
              <w:rPr>
                <w:lang w:val="en-US"/>
              </w:rPr>
            </w:pPr>
          </w:p>
          <w:p w14:paraId="5FEA3075" w14:textId="494E0AE3" w:rsidR="004D0895" w:rsidRPr="00B0504A" w:rsidRDefault="005C1006" w:rsidP="00B0504A">
            <w:pPr>
              <w:rPr>
                <w:lang w:val="en-US"/>
              </w:rPr>
            </w:pPr>
            <w:hyperlink r:id="rId26" w:history="1">
              <w:r w:rsidR="00DF6AF6">
                <w:rPr>
                  <w:rStyle w:val="Hyperlink"/>
                  <w:lang w:val="en-US"/>
                </w:rPr>
                <w:t>Capacity, nomination, allocation and balancing</w:t>
              </w:r>
            </w:hyperlink>
          </w:p>
          <w:p w14:paraId="564EEAD0" w14:textId="4248A4D1" w:rsidR="006E42E3" w:rsidRPr="00093DEB" w:rsidRDefault="006E42E3" w:rsidP="003156B2">
            <w:pPr>
              <w:spacing w:after="100" w:afterAutospacing="1" w:line="390" w:lineRule="atLeast"/>
              <w:rPr>
                <w:rFonts w:eastAsia="Times New Roman" w:cstheme="minorHAnsi"/>
                <w:kern w:val="0"/>
                <w:sz w:val="24"/>
                <w:szCs w:val="24"/>
                <w:lang w:val="en-US" w:eastAsia="da-DK"/>
                <w14:ligatures w14:val="none"/>
              </w:rPr>
            </w:pPr>
          </w:p>
        </w:tc>
      </w:tr>
      <w:tr w:rsidR="006E42E3" w:rsidRPr="00093DEB" w14:paraId="6C77BAD4" w14:textId="77777777" w:rsidTr="001857B0">
        <w:tc>
          <w:tcPr>
            <w:tcW w:w="0" w:type="auto"/>
            <w:vMerge/>
            <w:tcBorders>
              <w:top w:val="single" w:sz="6" w:space="0" w:color="auto"/>
              <w:left w:val="single" w:sz="6" w:space="0" w:color="auto"/>
              <w:bottom w:val="single" w:sz="6" w:space="0" w:color="auto"/>
              <w:right w:val="single" w:sz="6" w:space="0" w:color="auto"/>
            </w:tcBorders>
            <w:vAlign w:val="center"/>
            <w:hideMark/>
          </w:tcPr>
          <w:p w14:paraId="206A4243" w14:textId="77777777" w:rsidR="006E42E3" w:rsidRPr="00093DEB" w:rsidRDefault="006E42E3" w:rsidP="003156B2">
            <w:pPr>
              <w:spacing w:after="0" w:line="240" w:lineRule="auto"/>
              <w:rPr>
                <w:rFonts w:eastAsia="Times New Roman" w:cstheme="minorHAnsi"/>
                <w:kern w:val="0"/>
                <w:sz w:val="24"/>
                <w:szCs w:val="24"/>
                <w:lang w:val="en-US" w:eastAsia="da-DK"/>
                <w14:ligatures w14:val="none"/>
              </w:rPr>
            </w:pP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6B57FEDA" w14:textId="75B462D9" w:rsidR="004D0895" w:rsidRPr="004D0895" w:rsidRDefault="005C1006" w:rsidP="004D0895">
            <w:pPr>
              <w:rPr>
                <w:lang w:val="en-US"/>
              </w:rPr>
            </w:pPr>
            <w:hyperlink r:id="rId27" w:history="1">
              <w:r w:rsidR="005640AA">
                <w:rPr>
                  <w:rStyle w:val="Hyperlink"/>
                  <w:lang w:val="en-US"/>
                </w:rPr>
                <w:t>Communication</w:t>
              </w:r>
            </w:hyperlink>
          </w:p>
          <w:p w14:paraId="7B61A805" w14:textId="1E6A5562" w:rsidR="006E42E3" w:rsidRPr="00093DEB" w:rsidRDefault="006E42E3" w:rsidP="003156B2">
            <w:pPr>
              <w:spacing w:after="100" w:afterAutospacing="1" w:line="390" w:lineRule="atLeast"/>
              <w:rPr>
                <w:rFonts w:eastAsia="Times New Roman" w:cstheme="minorHAnsi"/>
                <w:kern w:val="0"/>
                <w:sz w:val="24"/>
                <w:szCs w:val="24"/>
                <w:lang w:val="en-US" w:eastAsia="da-DK"/>
                <w14:ligatures w14:val="none"/>
              </w:rPr>
            </w:pPr>
          </w:p>
        </w:tc>
      </w:tr>
      <w:tr w:rsidR="006E42E3" w:rsidRPr="004D0895" w14:paraId="3DB74715" w14:textId="77777777" w:rsidTr="001857B0">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48475053" w14:textId="77777777" w:rsidR="006E42E3" w:rsidRPr="003156B2" w:rsidRDefault="006E42E3" w:rsidP="003156B2">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t>3.1.2 m) Description of the methodology and process used to calculate the technical capacity</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4AB931C6" w14:textId="609C1707" w:rsidR="006E42E3" w:rsidRPr="004D0895" w:rsidRDefault="005C1006" w:rsidP="003156B2">
            <w:pPr>
              <w:spacing w:after="100" w:afterAutospacing="1" w:line="390" w:lineRule="atLeast"/>
              <w:rPr>
                <w:rFonts w:eastAsia="Times New Roman" w:cstheme="minorHAnsi"/>
                <w:kern w:val="0"/>
                <w:sz w:val="24"/>
                <w:szCs w:val="24"/>
                <w:lang w:val="en-US" w:eastAsia="da-DK"/>
                <w14:ligatures w14:val="none"/>
              </w:rPr>
            </w:pPr>
            <w:hyperlink r:id="rId28" w:history="1">
              <w:r w:rsidR="001E149B">
                <w:rPr>
                  <w:rStyle w:val="Hyperlink"/>
                  <w:lang w:val="en-US"/>
                </w:rPr>
                <w:t>Gas transmission capacities</w:t>
              </w:r>
            </w:hyperlink>
          </w:p>
        </w:tc>
      </w:tr>
      <w:tr w:rsidR="006E42E3" w:rsidRPr="007F6397" w14:paraId="3549E1D1" w14:textId="77777777" w:rsidTr="001857B0">
        <w:tc>
          <w:tcPr>
            <w:tcW w:w="0" w:type="auto"/>
            <w:vMerge w:val="restart"/>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3B2EB56A" w14:textId="77777777" w:rsidR="006E42E3" w:rsidRPr="003156B2" w:rsidRDefault="006E42E3" w:rsidP="003156B2">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t>3.3. (4), (5) Capacities, nominations and renominations, actual physical flows, gross calorific values</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09F2739C" w14:textId="70FD23C1" w:rsidR="006E42E3" w:rsidRPr="006E42E3" w:rsidRDefault="007F6397" w:rsidP="003156B2">
            <w:pPr>
              <w:spacing w:after="0" w:line="240" w:lineRule="auto"/>
              <w:rPr>
                <w:rFonts w:eastAsia="Times New Roman" w:cstheme="minorHAnsi"/>
                <w:kern w:val="0"/>
                <w:sz w:val="24"/>
                <w:szCs w:val="24"/>
                <w:lang w:val="en-US" w:eastAsia="da-DK"/>
                <w14:ligatures w14:val="none"/>
              </w:rPr>
            </w:pPr>
            <w:hyperlink r:id="rId29" w:history="1">
              <w:r>
                <w:rPr>
                  <w:color w:val="0000FF"/>
                  <w:u w:val="single"/>
                  <w:lang w:val="en-US"/>
                </w:rPr>
                <w:t>Capacity, nomination, allocation and balancing</w:t>
              </w:r>
            </w:hyperlink>
          </w:p>
        </w:tc>
      </w:tr>
      <w:tr w:rsidR="006E42E3" w:rsidRPr="007F6397" w14:paraId="21AE158A" w14:textId="77777777" w:rsidTr="001857B0">
        <w:tc>
          <w:tcPr>
            <w:tcW w:w="0" w:type="auto"/>
            <w:vMerge/>
            <w:tcBorders>
              <w:top w:val="single" w:sz="6" w:space="0" w:color="auto"/>
              <w:left w:val="single" w:sz="6" w:space="0" w:color="auto"/>
              <w:bottom w:val="single" w:sz="6" w:space="0" w:color="auto"/>
              <w:right w:val="single" w:sz="6" w:space="0" w:color="auto"/>
            </w:tcBorders>
            <w:vAlign w:val="center"/>
            <w:hideMark/>
          </w:tcPr>
          <w:p w14:paraId="6E68E6F7" w14:textId="77777777" w:rsidR="006E42E3" w:rsidRPr="006E42E3" w:rsidRDefault="006E42E3" w:rsidP="003156B2">
            <w:pPr>
              <w:spacing w:after="0" w:line="240" w:lineRule="auto"/>
              <w:rPr>
                <w:rFonts w:eastAsia="Times New Roman" w:cstheme="minorHAnsi"/>
                <w:kern w:val="0"/>
                <w:sz w:val="24"/>
                <w:szCs w:val="24"/>
                <w:lang w:val="en-US" w:eastAsia="da-DK"/>
                <w14:ligatures w14:val="none"/>
              </w:rPr>
            </w:pP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49717BFB" w14:textId="44338375" w:rsidR="006E42E3" w:rsidRPr="003156B2" w:rsidRDefault="00555AF5" w:rsidP="003156B2">
            <w:pPr>
              <w:spacing w:after="0" w:line="240" w:lineRule="auto"/>
              <w:rPr>
                <w:rFonts w:eastAsia="Times New Roman" w:cstheme="minorHAnsi"/>
                <w:kern w:val="0"/>
                <w:sz w:val="24"/>
                <w:szCs w:val="24"/>
                <w:lang w:val="en-US" w:eastAsia="da-DK"/>
                <w14:ligatures w14:val="none"/>
              </w:rPr>
            </w:pPr>
            <w:hyperlink r:id="rId30" w:history="1">
              <w:r w:rsidRPr="00555AF5">
                <w:rPr>
                  <w:color w:val="0000FF"/>
                  <w:u w:val="single"/>
                  <w:lang w:val="en-US"/>
                </w:rPr>
                <w:t>Energi Data Service | Datasets | Entry/Exit Gas Flow and Quality</w:t>
              </w:r>
            </w:hyperlink>
          </w:p>
        </w:tc>
      </w:tr>
      <w:tr w:rsidR="006E42E3" w:rsidRPr="007F6397" w14:paraId="5254AE6B" w14:textId="77777777" w:rsidTr="001857B0">
        <w:tc>
          <w:tcPr>
            <w:tcW w:w="0" w:type="auto"/>
            <w:vMerge/>
            <w:tcBorders>
              <w:top w:val="single" w:sz="6" w:space="0" w:color="auto"/>
              <w:left w:val="single" w:sz="6" w:space="0" w:color="auto"/>
              <w:bottom w:val="single" w:sz="6" w:space="0" w:color="auto"/>
              <w:right w:val="single" w:sz="6" w:space="0" w:color="auto"/>
            </w:tcBorders>
            <w:vAlign w:val="center"/>
            <w:hideMark/>
          </w:tcPr>
          <w:p w14:paraId="2E7D224E" w14:textId="77777777" w:rsidR="006E42E3" w:rsidRPr="003156B2" w:rsidRDefault="006E42E3" w:rsidP="003156B2">
            <w:pPr>
              <w:spacing w:after="0" w:line="240" w:lineRule="auto"/>
              <w:rPr>
                <w:rFonts w:eastAsia="Times New Roman" w:cstheme="minorHAnsi"/>
                <w:kern w:val="0"/>
                <w:sz w:val="24"/>
                <w:szCs w:val="24"/>
                <w:lang w:val="en-US" w:eastAsia="da-DK"/>
                <w14:ligatures w14:val="none"/>
              </w:rPr>
            </w:pP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55A5BD1C" w14:textId="58176CB6" w:rsidR="006E42E3" w:rsidRPr="003156B2" w:rsidRDefault="003955F8" w:rsidP="003156B2">
            <w:pPr>
              <w:spacing w:after="100" w:afterAutospacing="1" w:line="390" w:lineRule="atLeast"/>
              <w:rPr>
                <w:rFonts w:eastAsia="Times New Roman" w:cstheme="minorHAnsi"/>
                <w:kern w:val="0"/>
                <w:sz w:val="24"/>
                <w:szCs w:val="24"/>
                <w:lang w:val="en-US" w:eastAsia="da-DK"/>
                <w14:ligatures w14:val="none"/>
              </w:rPr>
            </w:pPr>
            <w:hyperlink r:id="rId31" w:history="1">
              <w:r w:rsidR="005657F6">
                <w:rPr>
                  <w:color w:val="0000FF"/>
                  <w:u w:val="single"/>
                  <w:lang w:val="en-US"/>
                </w:rPr>
                <w:t>Gas quality and pressure</w:t>
              </w:r>
            </w:hyperlink>
          </w:p>
        </w:tc>
      </w:tr>
      <w:tr w:rsidR="009928AB" w:rsidRPr="007F6397" w14:paraId="78AEE675" w14:textId="77777777" w:rsidTr="001857B0">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tcPr>
          <w:p w14:paraId="6630BF6B" w14:textId="28C02AC9" w:rsidR="009928AB" w:rsidRPr="003156B2" w:rsidRDefault="00A7466D" w:rsidP="003156B2">
            <w:pPr>
              <w:spacing w:after="0" w:line="240" w:lineRule="auto"/>
              <w:rPr>
                <w:rFonts w:eastAsia="Times New Roman" w:cstheme="minorHAnsi"/>
                <w:kern w:val="0"/>
                <w:sz w:val="24"/>
                <w:szCs w:val="24"/>
                <w:lang w:val="en-US" w:eastAsia="da-DK"/>
                <w14:ligatures w14:val="none"/>
              </w:rPr>
            </w:pPr>
            <w:r>
              <w:rPr>
                <w:rFonts w:eastAsia="Times New Roman" w:cstheme="minorHAnsi"/>
                <w:kern w:val="0"/>
                <w:sz w:val="24"/>
                <w:szCs w:val="24"/>
                <w:lang w:val="en-US" w:eastAsia="da-DK"/>
                <w14:ligatures w14:val="none"/>
              </w:rPr>
              <w:t>3.3. (1) (a)</w:t>
            </w:r>
            <w:r w:rsidR="009F4CC9">
              <w:rPr>
                <w:rFonts w:eastAsia="Times New Roman" w:cstheme="minorHAnsi"/>
                <w:kern w:val="0"/>
                <w:sz w:val="24"/>
                <w:szCs w:val="24"/>
                <w:lang w:val="en-US" w:eastAsia="da-DK"/>
                <w14:ligatures w14:val="none"/>
              </w:rPr>
              <w:t xml:space="preserve"> Technical capacity </w:t>
            </w:r>
            <w:r w:rsidR="00DB4A3D">
              <w:rPr>
                <w:rFonts w:eastAsia="Times New Roman" w:cstheme="minorHAnsi"/>
                <w:kern w:val="0"/>
                <w:sz w:val="24"/>
                <w:szCs w:val="24"/>
                <w:lang w:val="en-US" w:eastAsia="da-DK"/>
                <w14:ligatures w14:val="none"/>
              </w:rPr>
              <w:t>both directions</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tcPr>
          <w:p w14:paraId="7A4C3432" w14:textId="77777777" w:rsidR="002C2837" w:rsidRPr="00DB4A3D" w:rsidRDefault="005C1006" w:rsidP="002C2837">
            <w:pPr>
              <w:rPr>
                <w:lang w:val="en-US"/>
              </w:rPr>
            </w:pPr>
            <w:hyperlink r:id="rId32" w:anchor="/map" w:history="1">
              <w:r w:rsidR="002C2837" w:rsidRPr="00DB4A3D">
                <w:rPr>
                  <w:rStyle w:val="Hyperlink"/>
                  <w:lang w:val="en-US"/>
                </w:rPr>
                <w:t>https://transparency.entsog.eu/#/map</w:t>
              </w:r>
            </w:hyperlink>
          </w:p>
          <w:p w14:paraId="4DACE94D" w14:textId="77777777" w:rsidR="009928AB" w:rsidRPr="00DB4A3D" w:rsidRDefault="009928AB" w:rsidP="003156B2">
            <w:pPr>
              <w:spacing w:after="0" w:line="240" w:lineRule="auto"/>
              <w:rPr>
                <w:rFonts w:eastAsia="Times New Roman" w:cstheme="minorHAnsi"/>
                <w:kern w:val="0"/>
                <w:sz w:val="24"/>
                <w:szCs w:val="24"/>
                <w:lang w:val="en-US" w:eastAsia="da-DK"/>
                <w14:ligatures w14:val="none"/>
              </w:rPr>
            </w:pPr>
          </w:p>
          <w:p w14:paraId="00DB9B5E" w14:textId="77777777" w:rsidR="0078298B" w:rsidRPr="007F6397" w:rsidRDefault="005C1006" w:rsidP="0078298B">
            <w:pPr>
              <w:rPr>
                <w:lang w:val="en-US"/>
              </w:rPr>
            </w:pPr>
            <w:hyperlink r:id="rId33" w:history="1">
              <w:r w:rsidR="0078298B" w:rsidRPr="007F6397">
                <w:rPr>
                  <w:rStyle w:val="Hyperlink"/>
                  <w:lang w:val="en-US"/>
                </w:rPr>
                <w:t>https://www.energidataservice.dk/tso-gas/GasCapacityUsage</w:t>
              </w:r>
            </w:hyperlink>
          </w:p>
          <w:p w14:paraId="772C470E" w14:textId="77777777" w:rsidR="002C2837" w:rsidRPr="007F6397" w:rsidRDefault="002C2837" w:rsidP="003156B2">
            <w:pPr>
              <w:spacing w:after="0" w:line="240" w:lineRule="auto"/>
              <w:rPr>
                <w:rFonts w:eastAsia="Times New Roman" w:cstheme="minorHAnsi"/>
                <w:kern w:val="0"/>
                <w:sz w:val="24"/>
                <w:szCs w:val="24"/>
                <w:lang w:val="en-US" w:eastAsia="da-DK"/>
                <w14:ligatures w14:val="none"/>
              </w:rPr>
            </w:pPr>
          </w:p>
        </w:tc>
      </w:tr>
      <w:tr w:rsidR="009928AB" w:rsidRPr="007F6397" w14:paraId="5DE8EF31" w14:textId="77777777" w:rsidTr="001857B0">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tcPr>
          <w:p w14:paraId="09121598" w14:textId="25822ED1" w:rsidR="009928AB" w:rsidRPr="00DB4A3D" w:rsidRDefault="0078298B" w:rsidP="003156B2">
            <w:pPr>
              <w:spacing w:after="0" w:line="240" w:lineRule="auto"/>
              <w:rPr>
                <w:rFonts w:eastAsia="Times New Roman" w:cstheme="minorHAnsi"/>
                <w:kern w:val="0"/>
                <w:sz w:val="24"/>
                <w:szCs w:val="24"/>
                <w:lang w:val="en-US" w:eastAsia="da-DK"/>
                <w14:ligatures w14:val="none"/>
              </w:rPr>
            </w:pPr>
            <w:r w:rsidRPr="00DB4A3D">
              <w:rPr>
                <w:rFonts w:eastAsia="Times New Roman" w:cstheme="minorHAnsi"/>
                <w:kern w:val="0"/>
                <w:sz w:val="24"/>
                <w:szCs w:val="24"/>
                <w:lang w:val="en-US" w:eastAsia="da-DK"/>
                <w14:ligatures w14:val="none"/>
              </w:rPr>
              <w:t xml:space="preserve">3.3. (1) (b) </w:t>
            </w:r>
            <w:r w:rsidR="009C5CB9" w:rsidRPr="00DB4A3D">
              <w:rPr>
                <w:rFonts w:eastAsia="Times New Roman" w:cstheme="minorHAnsi"/>
                <w:kern w:val="0"/>
                <w:sz w:val="24"/>
                <w:szCs w:val="24"/>
                <w:lang w:val="en-US" w:eastAsia="da-DK"/>
                <w14:ligatures w14:val="none"/>
              </w:rPr>
              <w:t xml:space="preserve">Total interruptible </w:t>
            </w:r>
            <w:r w:rsidR="00DB4A3D" w:rsidRPr="00DB4A3D">
              <w:rPr>
                <w:rFonts w:eastAsia="Times New Roman" w:cstheme="minorHAnsi"/>
                <w:kern w:val="0"/>
                <w:sz w:val="24"/>
                <w:szCs w:val="24"/>
                <w:lang w:val="en-US" w:eastAsia="da-DK"/>
                <w14:ligatures w14:val="none"/>
              </w:rPr>
              <w:t>capacity b</w:t>
            </w:r>
            <w:r w:rsidR="00DB4A3D">
              <w:rPr>
                <w:rFonts w:eastAsia="Times New Roman" w:cstheme="minorHAnsi"/>
                <w:kern w:val="0"/>
                <w:sz w:val="24"/>
                <w:szCs w:val="24"/>
                <w:lang w:val="en-US" w:eastAsia="da-DK"/>
                <w14:ligatures w14:val="none"/>
              </w:rPr>
              <w:t>oth directions</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tcPr>
          <w:p w14:paraId="666A541F" w14:textId="77777777" w:rsidR="0054229D" w:rsidRPr="007F6397" w:rsidRDefault="005C1006" w:rsidP="0054229D">
            <w:pPr>
              <w:rPr>
                <w:lang w:val="en-US"/>
              </w:rPr>
            </w:pPr>
            <w:hyperlink r:id="rId34" w:anchor="/map" w:history="1">
              <w:r w:rsidR="0054229D" w:rsidRPr="007F6397">
                <w:rPr>
                  <w:rStyle w:val="Hyperlink"/>
                  <w:lang w:val="en-US"/>
                </w:rPr>
                <w:t>https://transparency.entsog.eu/#/map</w:t>
              </w:r>
            </w:hyperlink>
          </w:p>
          <w:p w14:paraId="18E0B2D7" w14:textId="77777777" w:rsidR="009928AB" w:rsidRDefault="009928AB" w:rsidP="003156B2">
            <w:pPr>
              <w:spacing w:after="0" w:line="240" w:lineRule="auto"/>
              <w:rPr>
                <w:rFonts w:eastAsia="Times New Roman" w:cstheme="minorHAnsi"/>
                <w:kern w:val="0"/>
                <w:sz w:val="24"/>
                <w:szCs w:val="24"/>
                <w:lang w:val="en-US" w:eastAsia="da-DK"/>
                <w14:ligatures w14:val="none"/>
              </w:rPr>
            </w:pPr>
          </w:p>
          <w:p w14:paraId="6F1E83AC" w14:textId="77777777" w:rsidR="003E5BC9" w:rsidRPr="003E5BC9" w:rsidRDefault="005C1006" w:rsidP="003E5BC9">
            <w:pPr>
              <w:rPr>
                <w:lang w:val="en-US"/>
              </w:rPr>
            </w:pPr>
            <w:hyperlink r:id="rId35" w:history="1">
              <w:r w:rsidR="003E5BC9" w:rsidRPr="003E5BC9">
                <w:rPr>
                  <w:rStyle w:val="Hyperlink"/>
                  <w:lang w:val="en-US"/>
                </w:rPr>
                <w:t>https://www.energidataservice.dk/tso-gas/GasCapacityUsage</w:t>
              </w:r>
            </w:hyperlink>
          </w:p>
          <w:p w14:paraId="15D31568" w14:textId="77777777" w:rsidR="0054229D" w:rsidRPr="00DB4A3D" w:rsidRDefault="0054229D" w:rsidP="003156B2">
            <w:pPr>
              <w:spacing w:after="0" w:line="240" w:lineRule="auto"/>
              <w:rPr>
                <w:rFonts w:eastAsia="Times New Roman" w:cstheme="minorHAnsi"/>
                <w:kern w:val="0"/>
                <w:sz w:val="24"/>
                <w:szCs w:val="24"/>
                <w:lang w:val="en-US" w:eastAsia="da-DK"/>
                <w14:ligatures w14:val="none"/>
              </w:rPr>
            </w:pPr>
          </w:p>
        </w:tc>
      </w:tr>
      <w:tr w:rsidR="00E127D0" w:rsidRPr="00DB4A3D" w14:paraId="66229F92" w14:textId="77777777" w:rsidTr="001857B0">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tcPr>
          <w:p w14:paraId="13A798DF" w14:textId="2668630F" w:rsidR="00E127D0" w:rsidRPr="00DB4A3D" w:rsidRDefault="00E127D0" w:rsidP="00E127D0">
            <w:pPr>
              <w:spacing w:after="0" w:line="240" w:lineRule="auto"/>
              <w:rPr>
                <w:rFonts w:eastAsia="Times New Roman" w:cstheme="minorHAnsi"/>
                <w:kern w:val="0"/>
                <w:sz w:val="24"/>
                <w:szCs w:val="24"/>
                <w:lang w:val="en-US" w:eastAsia="da-DK"/>
                <w14:ligatures w14:val="none"/>
              </w:rPr>
            </w:pPr>
            <w:r>
              <w:rPr>
                <w:rFonts w:eastAsia="Times New Roman" w:cstheme="minorHAnsi"/>
                <w:kern w:val="0"/>
                <w:sz w:val="24"/>
                <w:szCs w:val="24"/>
                <w:lang w:val="en-US" w:eastAsia="da-DK"/>
                <w14:ligatures w14:val="none"/>
              </w:rPr>
              <w:t xml:space="preserve">3.3 (1) </w:t>
            </w:r>
            <w:r w:rsidR="009B291E">
              <w:rPr>
                <w:rFonts w:eastAsia="Times New Roman" w:cstheme="minorHAnsi"/>
                <w:kern w:val="0"/>
                <w:sz w:val="24"/>
                <w:szCs w:val="24"/>
                <w:lang w:val="en-US" w:eastAsia="da-DK"/>
                <w14:ligatures w14:val="none"/>
              </w:rPr>
              <w:t>(</w:t>
            </w:r>
            <w:r>
              <w:rPr>
                <w:rFonts w:eastAsia="Times New Roman" w:cstheme="minorHAnsi"/>
                <w:kern w:val="0"/>
                <w:sz w:val="24"/>
                <w:szCs w:val="24"/>
                <w:lang w:val="en-US" w:eastAsia="da-DK"/>
                <w14:ligatures w14:val="none"/>
              </w:rPr>
              <w:t>c</w:t>
            </w:r>
            <w:r w:rsidR="009B291E">
              <w:rPr>
                <w:rFonts w:eastAsia="Times New Roman" w:cstheme="minorHAnsi"/>
                <w:kern w:val="0"/>
                <w:sz w:val="24"/>
                <w:szCs w:val="24"/>
                <w:lang w:val="en-US" w:eastAsia="da-DK"/>
                <w14:ligatures w14:val="none"/>
              </w:rPr>
              <w:t xml:space="preserve">) Nominations </w:t>
            </w:r>
            <w:r w:rsidR="00D54C1D">
              <w:rPr>
                <w:rFonts w:eastAsia="Times New Roman" w:cstheme="minorHAnsi"/>
                <w:kern w:val="0"/>
                <w:sz w:val="24"/>
                <w:szCs w:val="24"/>
                <w:lang w:val="en-US" w:eastAsia="da-DK"/>
                <w14:ligatures w14:val="none"/>
              </w:rPr>
              <w:t>and renominations both directions</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tcPr>
          <w:p w14:paraId="167C7397" w14:textId="77777777" w:rsidR="00E127D0" w:rsidRPr="00E127D0" w:rsidRDefault="005C1006" w:rsidP="00E127D0">
            <w:pPr>
              <w:rPr>
                <w:lang w:val="en-US"/>
              </w:rPr>
            </w:pPr>
            <w:hyperlink r:id="rId36" w:history="1">
              <w:r w:rsidR="00E127D0" w:rsidRPr="00E127D0">
                <w:rPr>
                  <w:rStyle w:val="Hyperlink"/>
                  <w:lang w:val="en-US"/>
                </w:rPr>
                <w:t>https://www.energidataservice.dk/tso-gas/GasAllocation</w:t>
              </w:r>
            </w:hyperlink>
          </w:p>
          <w:p w14:paraId="3F6B2A04" w14:textId="77777777" w:rsidR="00E127D0" w:rsidRPr="00E127D0" w:rsidRDefault="00E127D0" w:rsidP="00E127D0">
            <w:pPr>
              <w:rPr>
                <w:lang w:val="en-US"/>
              </w:rPr>
            </w:pPr>
          </w:p>
          <w:p w14:paraId="0D37C435" w14:textId="77777777" w:rsidR="00E127D0" w:rsidRDefault="005C1006" w:rsidP="00E127D0">
            <w:hyperlink r:id="rId37" w:anchor="/map" w:history="1">
              <w:r w:rsidR="00E127D0" w:rsidRPr="00B35038">
                <w:rPr>
                  <w:rStyle w:val="Hyperlink"/>
                </w:rPr>
                <w:t>https://transparency.entsog.eu/#/map</w:t>
              </w:r>
            </w:hyperlink>
          </w:p>
          <w:p w14:paraId="1FA05D29" w14:textId="77777777" w:rsidR="00E127D0" w:rsidRPr="00DB4A3D" w:rsidRDefault="00E127D0" w:rsidP="00E127D0">
            <w:pPr>
              <w:spacing w:after="0" w:line="240" w:lineRule="auto"/>
              <w:rPr>
                <w:rFonts w:eastAsia="Times New Roman" w:cstheme="minorHAnsi"/>
                <w:kern w:val="0"/>
                <w:sz w:val="24"/>
                <w:szCs w:val="24"/>
                <w:lang w:val="en-US" w:eastAsia="da-DK"/>
                <w14:ligatures w14:val="none"/>
              </w:rPr>
            </w:pPr>
          </w:p>
        </w:tc>
      </w:tr>
      <w:tr w:rsidR="00434180" w:rsidRPr="00F053A3" w14:paraId="5AE16AA5" w14:textId="77777777" w:rsidTr="001857B0">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tcPr>
          <w:p w14:paraId="6D07FF4D" w14:textId="33376BBE" w:rsidR="00434180" w:rsidRDefault="00F053A3" w:rsidP="00E127D0">
            <w:pPr>
              <w:spacing w:after="0" w:line="240" w:lineRule="auto"/>
              <w:rPr>
                <w:rFonts w:eastAsia="Times New Roman" w:cstheme="minorHAnsi"/>
                <w:kern w:val="0"/>
                <w:sz w:val="24"/>
                <w:szCs w:val="24"/>
                <w:lang w:val="en-US" w:eastAsia="da-DK"/>
                <w14:ligatures w14:val="none"/>
              </w:rPr>
            </w:pPr>
            <w:r>
              <w:rPr>
                <w:rFonts w:eastAsia="Times New Roman" w:cstheme="minorHAnsi"/>
                <w:kern w:val="0"/>
                <w:sz w:val="24"/>
                <w:szCs w:val="24"/>
                <w:lang w:val="en-US" w:eastAsia="da-DK"/>
                <w14:ligatures w14:val="none"/>
              </w:rPr>
              <w:t>3.3 (1) (d) Available interruptible and non-interruptible capacity both directions</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tcPr>
          <w:p w14:paraId="66DA2C46" w14:textId="2DAAEC6B" w:rsidR="00434180" w:rsidRPr="00F053A3" w:rsidRDefault="00F053A3" w:rsidP="00F053A3">
            <w:pPr>
              <w:rPr>
                <w:lang w:val="en-US"/>
              </w:rPr>
            </w:pPr>
            <w:hyperlink r:id="rId38" w:history="1">
              <w:r w:rsidRPr="00DD4D28">
                <w:rPr>
                  <w:rStyle w:val="Hyperlink"/>
                  <w:lang w:val="en-US"/>
                </w:rPr>
                <w:t>https://www.energidataservice.dk/tso-gas/GasCapacityUsage</w:t>
              </w:r>
            </w:hyperlink>
          </w:p>
        </w:tc>
      </w:tr>
      <w:tr w:rsidR="00E127D0" w:rsidRPr="00C3771C" w14:paraId="4B52546D" w14:textId="77777777" w:rsidTr="001857B0">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tcPr>
          <w:p w14:paraId="4357C02F" w14:textId="38A9DBF2" w:rsidR="00E127D0" w:rsidRPr="00DB4A3D" w:rsidRDefault="00E127D0" w:rsidP="00E127D0">
            <w:pPr>
              <w:spacing w:after="0" w:line="240" w:lineRule="auto"/>
              <w:rPr>
                <w:rFonts w:eastAsia="Times New Roman" w:cstheme="minorHAnsi"/>
                <w:kern w:val="0"/>
                <w:sz w:val="24"/>
                <w:szCs w:val="24"/>
                <w:lang w:val="en-US" w:eastAsia="da-DK"/>
                <w14:ligatures w14:val="none"/>
              </w:rPr>
            </w:pPr>
            <w:r>
              <w:rPr>
                <w:rFonts w:eastAsia="Times New Roman" w:cstheme="minorHAnsi"/>
                <w:kern w:val="0"/>
                <w:sz w:val="24"/>
                <w:szCs w:val="24"/>
                <w:lang w:val="en-US" w:eastAsia="da-DK"/>
                <w14:ligatures w14:val="none"/>
              </w:rPr>
              <w:t>3.3 (1) (</w:t>
            </w:r>
            <w:r w:rsidR="00420FD0">
              <w:rPr>
                <w:rFonts w:eastAsia="Times New Roman" w:cstheme="minorHAnsi"/>
                <w:kern w:val="0"/>
                <w:sz w:val="24"/>
                <w:szCs w:val="24"/>
                <w:lang w:val="en-US" w:eastAsia="da-DK"/>
                <w14:ligatures w14:val="none"/>
              </w:rPr>
              <w:t>e</w:t>
            </w:r>
            <w:r>
              <w:rPr>
                <w:rFonts w:eastAsia="Times New Roman" w:cstheme="minorHAnsi"/>
                <w:kern w:val="0"/>
                <w:sz w:val="24"/>
                <w:szCs w:val="24"/>
                <w:lang w:val="en-US" w:eastAsia="da-DK"/>
                <w14:ligatures w14:val="none"/>
              </w:rPr>
              <w:t xml:space="preserve">) </w:t>
            </w:r>
            <w:r w:rsidR="00420FD0">
              <w:rPr>
                <w:rFonts w:eastAsia="Times New Roman" w:cstheme="minorHAnsi"/>
                <w:kern w:val="0"/>
                <w:sz w:val="24"/>
                <w:szCs w:val="24"/>
                <w:lang w:val="en-US" w:eastAsia="da-DK"/>
                <w14:ligatures w14:val="none"/>
              </w:rPr>
              <w:t>Physical flow</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tcPr>
          <w:p w14:paraId="6F1324CB" w14:textId="77777777" w:rsidR="00C3771C" w:rsidRPr="00C3771C" w:rsidRDefault="00C3771C" w:rsidP="00C3771C">
            <w:pPr>
              <w:rPr>
                <w:rStyle w:val="Hyperlink"/>
                <w:lang w:val="en-US"/>
              </w:rPr>
            </w:pPr>
            <w:hyperlink r:id="rId39" w:anchor="/map" w:history="1">
              <w:r w:rsidRPr="00C3771C">
                <w:rPr>
                  <w:rStyle w:val="Hyperlink"/>
                  <w:lang w:val="en-US"/>
                </w:rPr>
                <w:t>https://transparency.entsog.eu/#/map</w:t>
              </w:r>
            </w:hyperlink>
          </w:p>
          <w:p w14:paraId="4C775F5B" w14:textId="77777777" w:rsidR="00C3771C" w:rsidRPr="00C3771C" w:rsidRDefault="00C3771C" w:rsidP="00C3771C">
            <w:pPr>
              <w:rPr>
                <w:rStyle w:val="Hyperlink"/>
                <w:lang w:val="en-US"/>
              </w:rPr>
            </w:pPr>
          </w:p>
          <w:p w14:paraId="1A91F735" w14:textId="77777777" w:rsidR="00C3771C" w:rsidRPr="00C3771C" w:rsidRDefault="00C3771C" w:rsidP="00C3771C">
            <w:pPr>
              <w:rPr>
                <w:lang w:val="en-US"/>
              </w:rPr>
            </w:pPr>
            <w:hyperlink r:id="rId40" w:history="1">
              <w:r w:rsidRPr="00C3771C">
                <w:rPr>
                  <w:rStyle w:val="Hyperlink"/>
                  <w:lang w:val="en-US"/>
                </w:rPr>
                <w:t>https://www.energidataservice.dk/tso-gas/EntryExitGasquality</w:t>
              </w:r>
            </w:hyperlink>
          </w:p>
          <w:p w14:paraId="187493AF" w14:textId="77777777" w:rsidR="00E127D0" w:rsidRPr="00DB4A3D" w:rsidRDefault="00E127D0" w:rsidP="00C3771C">
            <w:pPr>
              <w:rPr>
                <w:rFonts w:eastAsia="Times New Roman" w:cstheme="minorHAnsi"/>
                <w:kern w:val="0"/>
                <w:sz w:val="24"/>
                <w:szCs w:val="24"/>
                <w:lang w:val="en-US" w:eastAsia="da-DK"/>
                <w14:ligatures w14:val="none"/>
              </w:rPr>
            </w:pPr>
          </w:p>
        </w:tc>
      </w:tr>
      <w:tr w:rsidR="001857B0" w:rsidRPr="007F6397" w14:paraId="0DC73562" w14:textId="77777777" w:rsidTr="001145A7">
        <w:trPr>
          <w:trHeight w:val="864"/>
        </w:trPr>
        <w:tc>
          <w:tcPr>
            <w:tcW w:w="0" w:type="auto"/>
            <w:vMerge w:val="restart"/>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6DDB826B" w14:textId="11D447FE" w:rsidR="001857B0" w:rsidRPr="003156B2" w:rsidRDefault="001857B0" w:rsidP="00E127D0">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lastRenderedPageBreak/>
              <w:t>3.3. (1) f) Planned and actual interruptions</w:t>
            </w:r>
            <w:r>
              <w:rPr>
                <w:rFonts w:eastAsia="Times New Roman" w:cstheme="minorHAnsi"/>
                <w:kern w:val="0"/>
                <w:sz w:val="24"/>
                <w:szCs w:val="24"/>
                <w:lang w:val="en-US" w:eastAsia="da-DK"/>
                <w14:ligatures w14:val="none"/>
              </w:rPr>
              <w:t xml:space="preserve"> of interruptible capacity</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1927251B" w14:textId="4BC1DBF4" w:rsidR="001857B0" w:rsidRPr="009928AB" w:rsidRDefault="001857B0" w:rsidP="00E127D0">
            <w:pPr>
              <w:spacing w:after="0" w:line="240" w:lineRule="auto"/>
              <w:rPr>
                <w:rFonts w:eastAsia="Times New Roman" w:cstheme="minorHAnsi"/>
                <w:kern w:val="0"/>
                <w:sz w:val="24"/>
                <w:szCs w:val="24"/>
                <w:lang w:val="en-US" w:eastAsia="da-DK"/>
                <w14:ligatures w14:val="none"/>
              </w:rPr>
            </w:pPr>
            <w:r>
              <w:rPr>
                <w:rFonts w:eastAsia="Times New Roman" w:cstheme="minorHAnsi"/>
                <w:kern w:val="0"/>
                <w:sz w:val="24"/>
                <w:szCs w:val="24"/>
                <w:lang w:val="en-US" w:eastAsia="da-DK"/>
                <w14:ligatures w14:val="none"/>
              </w:rPr>
              <w:t xml:space="preserve">No </w:t>
            </w:r>
            <w:r w:rsidR="001145A7">
              <w:rPr>
                <w:rFonts w:eastAsia="Times New Roman" w:cstheme="minorHAnsi"/>
                <w:kern w:val="0"/>
                <w:sz w:val="24"/>
                <w:szCs w:val="24"/>
                <w:lang w:val="en-US" w:eastAsia="da-DK"/>
                <w14:ligatures w14:val="none"/>
              </w:rPr>
              <w:t xml:space="preserve">current </w:t>
            </w:r>
            <w:r>
              <w:rPr>
                <w:rFonts w:eastAsia="Times New Roman" w:cstheme="minorHAnsi"/>
                <w:kern w:val="0"/>
                <w:sz w:val="24"/>
                <w:szCs w:val="24"/>
                <w:lang w:val="en-US" w:eastAsia="da-DK"/>
                <w14:ligatures w14:val="none"/>
              </w:rPr>
              <w:t>interruptions</w:t>
            </w:r>
            <w:r w:rsidR="001145A7">
              <w:rPr>
                <w:rFonts w:eastAsia="Times New Roman" w:cstheme="minorHAnsi"/>
                <w:kern w:val="0"/>
                <w:sz w:val="24"/>
                <w:szCs w:val="24"/>
                <w:lang w:val="en-US" w:eastAsia="da-DK"/>
                <w14:ligatures w14:val="none"/>
              </w:rPr>
              <w:t xml:space="preserve"> of interruptible</w:t>
            </w:r>
            <w:r w:rsidR="00434E35">
              <w:rPr>
                <w:rFonts w:eastAsia="Times New Roman" w:cstheme="minorHAnsi"/>
                <w:kern w:val="0"/>
                <w:sz w:val="24"/>
                <w:szCs w:val="24"/>
                <w:lang w:val="en-US" w:eastAsia="da-DK"/>
                <w14:ligatures w14:val="none"/>
              </w:rPr>
              <w:t xml:space="preserve"> capacity</w:t>
            </w:r>
          </w:p>
        </w:tc>
      </w:tr>
      <w:tr w:rsidR="001857B0" w:rsidRPr="001145A7" w14:paraId="513A82D0" w14:textId="77777777" w:rsidTr="00644740">
        <w:tc>
          <w:tcPr>
            <w:tcW w:w="0" w:type="auto"/>
            <w:vMerge/>
            <w:tcBorders>
              <w:top w:val="single" w:sz="6" w:space="0" w:color="auto"/>
              <w:left w:val="single" w:sz="6" w:space="0" w:color="auto"/>
              <w:bottom w:val="single" w:sz="6" w:space="0" w:color="auto"/>
              <w:right w:val="single" w:sz="6" w:space="0" w:color="auto"/>
            </w:tcBorders>
            <w:vAlign w:val="center"/>
            <w:hideMark/>
          </w:tcPr>
          <w:p w14:paraId="2E57A966" w14:textId="77777777" w:rsidR="001857B0" w:rsidRPr="009928AB" w:rsidRDefault="001857B0" w:rsidP="00E127D0">
            <w:pPr>
              <w:spacing w:after="0" w:line="240" w:lineRule="auto"/>
              <w:rPr>
                <w:rFonts w:eastAsia="Times New Roman" w:cstheme="minorHAnsi"/>
                <w:kern w:val="0"/>
                <w:sz w:val="24"/>
                <w:szCs w:val="24"/>
                <w:lang w:val="en-US" w:eastAsia="da-DK"/>
                <w14:ligatures w14:val="none"/>
              </w:rPr>
            </w:pP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740A7BC1" w14:textId="58ADB887" w:rsidR="001857B0" w:rsidRPr="009928AB" w:rsidRDefault="001145A7" w:rsidP="00E127D0">
            <w:pPr>
              <w:spacing w:after="0" w:line="240" w:lineRule="auto"/>
              <w:rPr>
                <w:rFonts w:eastAsia="Times New Roman" w:cstheme="minorHAnsi"/>
                <w:kern w:val="0"/>
                <w:sz w:val="24"/>
                <w:szCs w:val="24"/>
                <w:lang w:val="en-US" w:eastAsia="da-DK"/>
                <w14:ligatures w14:val="none"/>
              </w:rPr>
            </w:pPr>
            <w:r>
              <w:rPr>
                <w:rFonts w:eastAsia="Times New Roman" w:cstheme="minorHAnsi"/>
                <w:kern w:val="0"/>
                <w:sz w:val="24"/>
                <w:szCs w:val="24"/>
                <w:lang w:val="en-US" w:eastAsia="da-DK"/>
                <w14:ligatures w14:val="none"/>
              </w:rPr>
              <w:t>No planned interruptions of interruptible capacity</w:t>
            </w:r>
          </w:p>
        </w:tc>
      </w:tr>
      <w:tr w:rsidR="001857B0" w:rsidRPr="007F6397" w14:paraId="4EF219E1" w14:textId="77777777" w:rsidTr="00E713C7">
        <w:tc>
          <w:tcPr>
            <w:tcW w:w="0" w:type="auto"/>
            <w:tcBorders>
              <w:top w:val="single" w:sz="6" w:space="0" w:color="auto"/>
              <w:left w:val="single" w:sz="6" w:space="0" w:color="auto"/>
              <w:bottom w:val="single" w:sz="4" w:space="0" w:color="auto"/>
              <w:right w:val="single" w:sz="4" w:space="0" w:color="auto"/>
            </w:tcBorders>
            <w:tcMar>
              <w:top w:w="225" w:type="dxa"/>
              <w:left w:w="300" w:type="dxa"/>
              <w:bottom w:w="225" w:type="dxa"/>
              <w:right w:w="300" w:type="dxa"/>
            </w:tcMar>
            <w:vAlign w:val="center"/>
            <w:hideMark/>
          </w:tcPr>
          <w:p w14:paraId="4CB94E63" w14:textId="77777777" w:rsidR="001857B0" w:rsidRPr="003156B2" w:rsidRDefault="001857B0" w:rsidP="00E127D0">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t>3.3. (1) g) Planned and unscheduled interruptions</w:t>
            </w:r>
          </w:p>
        </w:tc>
        <w:tc>
          <w:tcPr>
            <w:tcW w:w="0" w:type="auto"/>
            <w:tcBorders>
              <w:top w:val="single" w:sz="6" w:space="0" w:color="auto"/>
              <w:left w:val="single" w:sz="4" w:space="0" w:color="auto"/>
              <w:bottom w:val="single" w:sz="6" w:space="0" w:color="auto"/>
              <w:right w:val="single" w:sz="6" w:space="0" w:color="auto"/>
            </w:tcBorders>
            <w:tcMar>
              <w:top w:w="225" w:type="dxa"/>
              <w:left w:w="300" w:type="dxa"/>
              <w:bottom w:w="225" w:type="dxa"/>
              <w:right w:w="300" w:type="dxa"/>
            </w:tcMar>
            <w:vAlign w:val="center"/>
            <w:hideMark/>
          </w:tcPr>
          <w:p w14:paraId="179705DA" w14:textId="43ADC92A" w:rsidR="00426963" w:rsidRPr="009A5E40" w:rsidRDefault="009A5E40" w:rsidP="00B24225">
            <w:pPr>
              <w:spacing w:after="0" w:line="260" w:lineRule="atLeast"/>
              <w:rPr>
                <w:rFonts w:ascii="Arial" w:eastAsia="Calibri" w:hAnsi="Arial" w:cs="Times New Roman"/>
                <w:color w:val="0563C1"/>
                <w:kern w:val="0"/>
                <w:sz w:val="19"/>
                <w:szCs w:val="19"/>
                <w:u w:val="single"/>
                <w:lang w:val="en-US"/>
                <w14:ligatures w14:val="none"/>
              </w:rPr>
            </w:pPr>
            <w:hyperlink r:id="rId41" w:history="1">
              <w:r>
                <w:rPr>
                  <w:color w:val="0000FF"/>
                  <w:u w:val="single"/>
                  <w:lang w:val="en-US"/>
                </w:rPr>
                <w:t>Operation and maintenance</w:t>
              </w:r>
            </w:hyperlink>
          </w:p>
          <w:p w14:paraId="79A3CF81" w14:textId="77777777" w:rsidR="00426963" w:rsidRPr="00B24225" w:rsidRDefault="00426963" w:rsidP="00B24225">
            <w:pPr>
              <w:spacing w:after="0" w:line="260" w:lineRule="atLeast"/>
              <w:rPr>
                <w:rFonts w:ascii="Arial" w:eastAsia="Calibri" w:hAnsi="Arial" w:cs="Times New Roman"/>
                <w:kern w:val="0"/>
                <w:sz w:val="19"/>
                <w:szCs w:val="19"/>
                <w:lang w:val="en-US"/>
                <w14:ligatures w14:val="none"/>
              </w:rPr>
            </w:pPr>
          </w:p>
          <w:p w14:paraId="7C010A39" w14:textId="40DD9137" w:rsidR="001857B0" w:rsidRPr="007F6397" w:rsidRDefault="001857B0" w:rsidP="00E127D0">
            <w:pPr>
              <w:spacing w:after="0" w:line="240" w:lineRule="auto"/>
              <w:rPr>
                <w:rFonts w:eastAsia="Times New Roman" w:cstheme="minorHAnsi"/>
                <w:kern w:val="0"/>
                <w:sz w:val="24"/>
                <w:szCs w:val="24"/>
                <w:lang w:val="en-US" w:eastAsia="da-DK"/>
                <w14:ligatures w14:val="none"/>
              </w:rPr>
            </w:pPr>
          </w:p>
        </w:tc>
      </w:tr>
      <w:tr w:rsidR="001857B0" w:rsidRPr="007F6397" w14:paraId="07139F7E" w14:textId="77777777" w:rsidTr="001857B0">
        <w:tc>
          <w:tcPr>
            <w:tcW w:w="0" w:type="auto"/>
            <w:vMerge w:val="restart"/>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56B0F134" w14:textId="77777777" w:rsidR="001857B0" w:rsidRPr="003156B2" w:rsidRDefault="001857B0" w:rsidP="00E127D0">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t>3.4 (1) u. (2) Information on secondary trading</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5D22473C" w14:textId="4530CEB1" w:rsidR="001857B0" w:rsidRPr="003156B2" w:rsidRDefault="00F758AD" w:rsidP="00E127D0">
            <w:pPr>
              <w:spacing w:after="0" w:line="240" w:lineRule="auto"/>
              <w:rPr>
                <w:rFonts w:eastAsia="Times New Roman" w:cstheme="minorHAnsi"/>
                <w:kern w:val="0"/>
                <w:sz w:val="24"/>
                <w:szCs w:val="24"/>
                <w:lang w:val="en-US" w:eastAsia="da-DK"/>
                <w14:ligatures w14:val="none"/>
              </w:rPr>
            </w:pPr>
            <w:hyperlink r:id="rId42" w:history="1">
              <w:r w:rsidR="009A5E40">
                <w:rPr>
                  <w:rStyle w:val="Hyperlink"/>
                  <w:lang w:val="en-US"/>
                </w:rPr>
                <w:t>Capacity, nomination, allocation and balancing</w:t>
              </w:r>
            </w:hyperlink>
          </w:p>
        </w:tc>
      </w:tr>
      <w:tr w:rsidR="001857B0" w:rsidRPr="007F6397" w14:paraId="76729844" w14:textId="77777777" w:rsidTr="001857B0">
        <w:tc>
          <w:tcPr>
            <w:tcW w:w="0" w:type="auto"/>
            <w:vMerge/>
            <w:tcBorders>
              <w:top w:val="single" w:sz="6" w:space="0" w:color="auto"/>
              <w:left w:val="single" w:sz="6" w:space="0" w:color="auto"/>
              <w:bottom w:val="single" w:sz="6" w:space="0" w:color="auto"/>
              <w:right w:val="single" w:sz="6" w:space="0" w:color="auto"/>
            </w:tcBorders>
            <w:vAlign w:val="center"/>
            <w:hideMark/>
          </w:tcPr>
          <w:p w14:paraId="16DA5E52" w14:textId="77777777" w:rsidR="001857B0" w:rsidRPr="003156B2" w:rsidRDefault="001857B0" w:rsidP="00E127D0">
            <w:pPr>
              <w:spacing w:after="0" w:line="240" w:lineRule="auto"/>
              <w:rPr>
                <w:rFonts w:eastAsia="Times New Roman" w:cstheme="minorHAnsi"/>
                <w:kern w:val="0"/>
                <w:sz w:val="24"/>
                <w:szCs w:val="24"/>
                <w:lang w:val="en-US" w:eastAsia="da-DK"/>
                <w14:ligatures w14:val="none"/>
              </w:rPr>
            </w:pP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52613672" w14:textId="762367B3" w:rsidR="001857B0" w:rsidRPr="00F12AC8" w:rsidRDefault="009A5E40" w:rsidP="00E127D0">
            <w:pPr>
              <w:spacing w:after="0" w:line="240" w:lineRule="auto"/>
              <w:rPr>
                <w:rFonts w:eastAsia="Times New Roman" w:cstheme="minorHAnsi"/>
                <w:kern w:val="0"/>
                <w:sz w:val="24"/>
                <w:szCs w:val="24"/>
                <w:lang w:val="en-US" w:eastAsia="da-DK"/>
                <w14:ligatures w14:val="none"/>
              </w:rPr>
            </w:pPr>
            <w:hyperlink r:id="rId43" w:history="1">
              <w:r w:rsidRPr="009A5E40">
                <w:rPr>
                  <w:rStyle w:val="Hyperlink"/>
                  <w:rFonts w:ascii="Helvetica" w:hAnsi="Helvetica"/>
                  <w:shd w:val="clear" w:color="auto" w:fill="FFFFFF"/>
                  <w:lang w:val="en-US"/>
                </w:rPr>
                <w:t>Terms and conditions gas transport</w:t>
              </w:r>
            </w:hyperlink>
            <w:r>
              <w:rPr>
                <w:rFonts w:ascii="Helvetica" w:hAnsi="Helvetica"/>
                <w:shd w:val="clear" w:color="auto" w:fill="FFFFFF"/>
                <w:lang w:val="en-US"/>
              </w:rPr>
              <w:t xml:space="preserve"> </w:t>
            </w:r>
            <w:r w:rsidR="00FB67B2">
              <w:rPr>
                <w:lang w:val="en-US"/>
              </w:rPr>
              <w:t>chapter 5.2.3 and 5.2.4</w:t>
            </w:r>
          </w:p>
        </w:tc>
      </w:tr>
      <w:tr w:rsidR="001857B0" w:rsidRPr="003156B2" w14:paraId="022CB38D" w14:textId="77777777" w:rsidTr="001857B0">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25485547" w14:textId="77777777" w:rsidR="001857B0" w:rsidRPr="003156B2" w:rsidRDefault="001857B0" w:rsidP="00E127D0">
            <w:pPr>
              <w:spacing w:after="0" w:line="240" w:lineRule="auto"/>
              <w:rPr>
                <w:rFonts w:eastAsia="Times New Roman" w:cstheme="minorHAnsi"/>
                <w:kern w:val="0"/>
                <w:sz w:val="24"/>
                <w:szCs w:val="24"/>
                <w:lang w:eastAsia="da-DK"/>
                <w14:ligatures w14:val="none"/>
              </w:rPr>
            </w:pPr>
            <w:r w:rsidRPr="003156B2">
              <w:rPr>
                <w:rFonts w:eastAsia="Times New Roman" w:cstheme="minorHAnsi"/>
                <w:kern w:val="0"/>
                <w:sz w:val="24"/>
                <w:szCs w:val="24"/>
                <w:lang w:eastAsia="da-DK"/>
                <w14:ligatures w14:val="none"/>
              </w:rPr>
              <w:t>3.4 (3) Balancing services </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62FC3FE9" w14:textId="6A9103FC" w:rsidR="001857B0" w:rsidRPr="003156B2" w:rsidRDefault="004F4AB1" w:rsidP="00E127D0">
            <w:pPr>
              <w:spacing w:after="0" w:line="240" w:lineRule="auto"/>
              <w:rPr>
                <w:rFonts w:eastAsia="Times New Roman" w:cstheme="minorHAnsi"/>
                <w:kern w:val="0"/>
                <w:sz w:val="24"/>
                <w:szCs w:val="24"/>
                <w:lang w:eastAsia="da-DK"/>
                <w14:ligatures w14:val="none"/>
              </w:rPr>
            </w:pPr>
            <w:hyperlink r:id="rId44" w:history="1">
              <w:r>
                <w:rPr>
                  <w:rStyle w:val="Hyperlink"/>
                </w:rPr>
                <w:t>Energi Data Service | Datasets | Gas Accumulated System Balance</w:t>
              </w:r>
            </w:hyperlink>
          </w:p>
        </w:tc>
      </w:tr>
      <w:tr w:rsidR="001857B0" w:rsidRPr="007F6397" w14:paraId="3217E8AA" w14:textId="77777777" w:rsidTr="001857B0">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07F0DCE7" w14:textId="1D0FE5EE" w:rsidR="001857B0" w:rsidRPr="003156B2" w:rsidRDefault="001857B0" w:rsidP="00E127D0">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t>3.4 (4) Further flexibility service of TSO</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tcPr>
          <w:p w14:paraId="3E5731A2" w14:textId="41421C74" w:rsidR="001857B0" w:rsidRPr="006E42E3" w:rsidRDefault="004F4AB1" w:rsidP="00E127D0">
            <w:pPr>
              <w:spacing w:after="0" w:line="240" w:lineRule="auto"/>
              <w:rPr>
                <w:rFonts w:eastAsia="Times New Roman" w:cstheme="minorHAnsi"/>
                <w:kern w:val="0"/>
                <w:sz w:val="24"/>
                <w:szCs w:val="24"/>
                <w:lang w:val="en-US" w:eastAsia="da-DK"/>
                <w14:ligatures w14:val="none"/>
              </w:rPr>
            </w:pPr>
            <w:r>
              <w:rPr>
                <w:rFonts w:eastAsia="Times New Roman" w:cstheme="minorHAnsi"/>
                <w:kern w:val="0"/>
                <w:sz w:val="24"/>
                <w:szCs w:val="24"/>
                <w:lang w:val="en-US" w:eastAsia="da-DK"/>
                <w14:ligatures w14:val="none"/>
              </w:rPr>
              <w:t>N/A</w:t>
            </w:r>
          </w:p>
        </w:tc>
      </w:tr>
      <w:tr w:rsidR="001857B0" w:rsidRPr="007F6397" w14:paraId="607D38BC" w14:textId="77777777" w:rsidTr="001857B0">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5A457DA0" w14:textId="77777777" w:rsidR="001857B0" w:rsidRPr="003156B2" w:rsidRDefault="001857B0" w:rsidP="00E127D0">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t>3.4 (5) Amount of gas in the transmission system and the forecast</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36F141FC" w14:textId="242E56C9" w:rsidR="001857B0" w:rsidRPr="003156B2" w:rsidRDefault="004F4AB1" w:rsidP="00E127D0">
            <w:pPr>
              <w:spacing w:after="0" w:line="240" w:lineRule="auto"/>
              <w:rPr>
                <w:rFonts w:eastAsia="Times New Roman" w:cstheme="minorHAnsi"/>
                <w:kern w:val="0"/>
                <w:sz w:val="24"/>
                <w:szCs w:val="24"/>
                <w:lang w:val="en-US" w:eastAsia="da-DK"/>
                <w14:ligatures w14:val="none"/>
              </w:rPr>
            </w:pPr>
            <w:hyperlink r:id="rId45" w:history="1">
              <w:r>
                <w:rPr>
                  <w:rStyle w:val="Hyperlink"/>
                </w:rPr>
                <w:t>Energi Data Service | Datasets | Gas Accumulated System Balance</w:t>
              </w:r>
            </w:hyperlink>
          </w:p>
        </w:tc>
      </w:tr>
      <w:tr w:rsidR="001857B0" w:rsidRPr="007F6397" w14:paraId="0946D314" w14:textId="77777777" w:rsidTr="001857B0">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hideMark/>
          </w:tcPr>
          <w:p w14:paraId="3EF67C7B" w14:textId="77777777" w:rsidR="001857B0" w:rsidRPr="003156B2" w:rsidRDefault="001857B0" w:rsidP="00E127D0">
            <w:pPr>
              <w:spacing w:after="0" w:line="240" w:lineRule="auto"/>
              <w:rPr>
                <w:rFonts w:eastAsia="Times New Roman" w:cstheme="minorHAnsi"/>
                <w:kern w:val="0"/>
                <w:sz w:val="24"/>
                <w:szCs w:val="24"/>
                <w:lang w:val="en-US" w:eastAsia="da-DK"/>
                <w14:ligatures w14:val="none"/>
              </w:rPr>
            </w:pPr>
            <w:r w:rsidRPr="003156B2">
              <w:rPr>
                <w:rFonts w:eastAsia="Times New Roman" w:cstheme="minorHAnsi"/>
                <w:kern w:val="0"/>
                <w:sz w:val="24"/>
                <w:szCs w:val="24"/>
                <w:lang w:val="en-US" w:eastAsia="da-DK"/>
                <w14:ligatures w14:val="none"/>
              </w:rPr>
              <w:t>3.4 (6) User-friendly instruments for calculating tariffs</w:t>
            </w:r>
          </w:p>
        </w:tc>
        <w:tc>
          <w:tcPr>
            <w:tcW w:w="0" w:type="auto"/>
            <w:tcBorders>
              <w:top w:val="single" w:sz="6" w:space="0" w:color="auto"/>
              <w:left w:val="single" w:sz="6" w:space="0" w:color="auto"/>
              <w:bottom w:val="single" w:sz="6" w:space="0" w:color="auto"/>
              <w:right w:val="single" w:sz="6" w:space="0" w:color="auto"/>
            </w:tcBorders>
            <w:tcMar>
              <w:top w:w="225" w:type="dxa"/>
              <w:left w:w="300" w:type="dxa"/>
              <w:bottom w:w="225" w:type="dxa"/>
              <w:right w:w="300" w:type="dxa"/>
            </w:tcMar>
            <w:vAlign w:val="center"/>
          </w:tcPr>
          <w:p w14:paraId="11126203" w14:textId="62BF21E7" w:rsidR="001857B0" w:rsidRPr="006E42E3" w:rsidRDefault="00895EC7" w:rsidP="00E127D0">
            <w:pPr>
              <w:spacing w:after="0" w:line="240" w:lineRule="auto"/>
              <w:rPr>
                <w:rFonts w:eastAsia="Times New Roman" w:cstheme="minorHAnsi"/>
                <w:kern w:val="0"/>
                <w:sz w:val="24"/>
                <w:szCs w:val="24"/>
                <w:lang w:val="en-US" w:eastAsia="da-DK"/>
                <w14:ligatures w14:val="none"/>
              </w:rPr>
            </w:pPr>
            <w:hyperlink r:id="rId46" w:history="1">
              <w:r>
                <w:rPr>
                  <w:rStyle w:val="Hyperlink"/>
                  <w:lang w:val="en-US"/>
                </w:rPr>
                <w:t>Tariffs and fees on the Danish gas market</w:t>
              </w:r>
            </w:hyperlink>
          </w:p>
        </w:tc>
      </w:tr>
    </w:tbl>
    <w:p w14:paraId="41731479" w14:textId="77777777" w:rsidR="003156B2" w:rsidRPr="00713C59" w:rsidRDefault="003156B2">
      <w:pPr>
        <w:rPr>
          <w:lang w:val="en-US"/>
        </w:rPr>
      </w:pPr>
    </w:p>
    <w:sectPr w:rsidR="003156B2" w:rsidRPr="00713C5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B2"/>
    <w:rsid w:val="00054828"/>
    <w:rsid w:val="000862C7"/>
    <w:rsid w:val="00093DEB"/>
    <w:rsid w:val="000C31C5"/>
    <w:rsid w:val="000D2E56"/>
    <w:rsid w:val="000F6BF7"/>
    <w:rsid w:val="001145A7"/>
    <w:rsid w:val="001335C9"/>
    <w:rsid w:val="001857B0"/>
    <w:rsid w:val="00187568"/>
    <w:rsid w:val="001A1521"/>
    <w:rsid w:val="001B7A02"/>
    <w:rsid w:val="001E149B"/>
    <w:rsid w:val="001E3D92"/>
    <w:rsid w:val="002102CA"/>
    <w:rsid w:val="00245F70"/>
    <w:rsid w:val="00251357"/>
    <w:rsid w:val="0029076C"/>
    <w:rsid w:val="00291671"/>
    <w:rsid w:val="002B030C"/>
    <w:rsid w:val="002C2837"/>
    <w:rsid w:val="00305FA6"/>
    <w:rsid w:val="003156B2"/>
    <w:rsid w:val="00326C0F"/>
    <w:rsid w:val="00333110"/>
    <w:rsid w:val="00356FF7"/>
    <w:rsid w:val="00385014"/>
    <w:rsid w:val="00387679"/>
    <w:rsid w:val="003955F8"/>
    <w:rsid w:val="003A2B9C"/>
    <w:rsid w:val="003B4ACE"/>
    <w:rsid w:val="003E5BC9"/>
    <w:rsid w:val="00420FD0"/>
    <w:rsid w:val="00426963"/>
    <w:rsid w:val="00431DDC"/>
    <w:rsid w:val="00434180"/>
    <w:rsid w:val="00434E35"/>
    <w:rsid w:val="004C2BCC"/>
    <w:rsid w:val="004D0895"/>
    <w:rsid w:val="004D3A31"/>
    <w:rsid w:val="004F4AB1"/>
    <w:rsid w:val="0054229D"/>
    <w:rsid w:val="00555AF5"/>
    <w:rsid w:val="005640AA"/>
    <w:rsid w:val="005657F6"/>
    <w:rsid w:val="005A003C"/>
    <w:rsid w:val="005C1006"/>
    <w:rsid w:val="00644740"/>
    <w:rsid w:val="006B156B"/>
    <w:rsid w:val="006D43FC"/>
    <w:rsid w:val="006E42E3"/>
    <w:rsid w:val="006E6EA2"/>
    <w:rsid w:val="006F4746"/>
    <w:rsid w:val="00713C59"/>
    <w:rsid w:val="007225F3"/>
    <w:rsid w:val="00774655"/>
    <w:rsid w:val="0078298B"/>
    <w:rsid w:val="00790036"/>
    <w:rsid w:val="007F6397"/>
    <w:rsid w:val="007F7827"/>
    <w:rsid w:val="00810809"/>
    <w:rsid w:val="00895EC7"/>
    <w:rsid w:val="0093508F"/>
    <w:rsid w:val="009928AB"/>
    <w:rsid w:val="009A5E40"/>
    <w:rsid w:val="009B291E"/>
    <w:rsid w:val="009B5A82"/>
    <w:rsid w:val="009C5CB9"/>
    <w:rsid w:val="009E31F5"/>
    <w:rsid w:val="009F4CC9"/>
    <w:rsid w:val="00A27DE3"/>
    <w:rsid w:val="00A7466D"/>
    <w:rsid w:val="00AB0DA7"/>
    <w:rsid w:val="00B0504A"/>
    <w:rsid w:val="00B24225"/>
    <w:rsid w:val="00B607F4"/>
    <w:rsid w:val="00B70A28"/>
    <w:rsid w:val="00B81E1C"/>
    <w:rsid w:val="00BE2097"/>
    <w:rsid w:val="00C27D0B"/>
    <w:rsid w:val="00C3771C"/>
    <w:rsid w:val="00C426E8"/>
    <w:rsid w:val="00C90E3A"/>
    <w:rsid w:val="00C92193"/>
    <w:rsid w:val="00CA5653"/>
    <w:rsid w:val="00CD240F"/>
    <w:rsid w:val="00D54C1D"/>
    <w:rsid w:val="00DB0F43"/>
    <w:rsid w:val="00DB4A3D"/>
    <w:rsid w:val="00DD4D28"/>
    <w:rsid w:val="00DF6AF6"/>
    <w:rsid w:val="00E127D0"/>
    <w:rsid w:val="00E52BEC"/>
    <w:rsid w:val="00E713C7"/>
    <w:rsid w:val="00EA072D"/>
    <w:rsid w:val="00EB2110"/>
    <w:rsid w:val="00F053A3"/>
    <w:rsid w:val="00F12AC8"/>
    <w:rsid w:val="00F1651C"/>
    <w:rsid w:val="00F1757F"/>
    <w:rsid w:val="00F24710"/>
    <w:rsid w:val="00F2517F"/>
    <w:rsid w:val="00F41AE7"/>
    <w:rsid w:val="00F758AD"/>
    <w:rsid w:val="00F97F5C"/>
    <w:rsid w:val="00FB67B2"/>
    <w:rsid w:val="00FC18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CE10"/>
  <w15:chartTrackingRefBased/>
  <w15:docId w15:val="{244792B3-D5C9-43F1-B1E8-7FDCECB4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21"/>
    <w:unhideWhenUsed/>
    <w:rsid w:val="003156B2"/>
    <w:rPr>
      <w:color w:val="0000FF"/>
      <w:u w:val="single"/>
    </w:rPr>
  </w:style>
  <w:style w:type="paragraph" w:styleId="NormalWeb">
    <w:name w:val="Normal (Web)"/>
    <w:basedOn w:val="Normal"/>
    <w:uiPriority w:val="99"/>
    <w:semiHidden/>
    <w:unhideWhenUsed/>
    <w:rsid w:val="003156B2"/>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Ulstomtale">
    <w:name w:val="Unresolved Mention"/>
    <w:basedOn w:val="Standardskrifttypeiafsnit"/>
    <w:uiPriority w:val="99"/>
    <w:semiHidden/>
    <w:unhideWhenUsed/>
    <w:rsid w:val="000F6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nerginet.dk/gas/shippers/new-shipper/" TargetMode="External"/><Relationship Id="rId13" Type="http://schemas.openxmlformats.org/officeDocument/2006/relationships/hyperlink" Target="https://en.energinet.dk/gas/rules/" TargetMode="External"/><Relationship Id="rId18" Type="http://schemas.openxmlformats.org/officeDocument/2006/relationships/hyperlink" Target="https://en.energinet.dk/gas/shippers/gas-balancing-model/" TargetMode="External"/><Relationship Id="rId26" Type="http://schemas.openxmlformats.org/officeDocument/2006/relationships/hyperlink" Target="https://en.energinet.dk/gas/transparency/capacity-nomination-allocation-and-balancing/" TargetMode="External"/><Relationship Id="rId39" Type="http://schemas.openxmlformats.org/officeDocument/2006/relationships/hyperlink" Target="https://transparency.entsog.eu/" TargetMode="External"/><Relationship Id="rId3" Type="http://schemas.openxmlformats.org/officeDocument/2006/relationships/webSettings" Target="webSettings.xml"/><Relationship Id="rId21" Type="http://schemas.openxmlformats.org/officeDocument/2006/relationships/hyperlink" Target="https://en.energinet.dk/gas/transparency/" TargetMode="External"/><Relationship Id="rId34" Type="http://schemas.openxmlformats.org/officeDocument/2006/relationships/hyperlink" Target="https://transparency.entsog.eu/" TargetMode="External"/><Relationship Id="rId42" Type="http://schemas.openxmlformats.org/officeDocument/2006/relationships/hyperlink" Target="https://en.energinet.dk/gas/transparency/capacity-nomination-allocation-and-balancing/" TargetMode="External"/><Relationship Id="rId47" Type="http://schemas.openxmlformats.org/officeDocument/2006/relationships/fontTable" Target="fontTable.xml"/><Relationship Id="rId7" Type="http://schemas.openxmlformats.org/officeDocument/2006/relationships/hyperlink" Target="https://en.energinet.dk/gas/rules/" TargetMode="External"/><Relationship Id="rId12" Type="http://schemas.openxmlformats.org/officeDocument/2006/relationships/hyperlink" Target="https://en.energinet.dk/gas/transparency/gas-quality-and-pressure/" TargetMode="External"/><Relationship Id="rId17" Type="http://schemas.openxmlformats.org/officeDocument/2006/relationships/hyperlink" Target="https://en.energinet.dk/gas/transparency/capacity-nomination-allocation-and-balancing/" TargetMode="External"/><Relationship Id="rId25" Type="http://schemas.openxmlformats.org/officeDocument/2006/relationships/hyperlink" Target="https://en.energinet.dk/gas/rules/" TargetMode="External"/><Relationship Id="rId33" Type="http://schemas.openxmlformats.org/officeDocument/2006/relationships/hyperlink" Target="https://www.energidataservice.dk/tso-gas/GasCapacityUsage" TargetMode="External"/><Relationship Id="rId38" Type="http://schemas.openxmlformats.org/officeDocument/2006/relationships/hyperlink" Target="https://www.energidataservice.dk/tso-gas/GasCapacityUsage" TargetMode="External"/><Relationship Id="rId46" Type="http://schemas.openxmlformats.org/officeDocument/2006/relationships/hyperlink" Target="https://en.energinet.dk/gas/tariffs-and-fees/" TargetMode="External"/><Relationship Id="rId2" Type="http://schemas.openxmlformats.org/officeDocument/2006/relationships/settings" Target="settings.xml"/><Relationship Id="rId16" Type="http://schemas.openxmlformats.org/officeDocument/2006/relationships/hyperlink" Target="https://en.energinet.dk/gas/transparency/capacity-nomination-allocation-and-balancing/" TargetMode="External"/><Relationship Id="rId20" Type="http://schemas.openxmlformats.org/officeDocument/2006/relationships/hyperlink" Target="https://en.energinet.dk/gas/gas-market/" TargetMode="External"/><Relationship Id="rId29" Type="http://schemas.openxmlformats.org/officeDocument/2006/relationships/hyperlink" Target="https://en.energinet.dk/gas/transparency/capacity-nomination-allocation-and-balancing/" TargetMode="External"/><Relationship Id="rId41" Type="http://schemas.openxmlformats.org/officeDocument/2006/relationships/hyperlink" Target="https://en.energinet.dk/gas/operation-and-maintenance/" TargetMode="External"/><Relationship Id="rId1" Type="http://schemas.openxmlformats.org/officeDocument/2006/relationships/styles" Target="styles.xml"/><Relationship Id="rId6" Type="http://schemas.openxmlformats.org/officeDocument/2006/relationships/hyperlink" Target="https://en.energinet.dk/gas/tariffs-and-fees/" TargetMode="External"/><Relationship Id="rId11" Type="http://schemas.openxmlformats.org/officeDocument/2006/relationships/hyperlink" Target="https://en.energinet.dk/gas/gas-quality/" TargetMode="External"/><Relationship Id="rId24" Type="http://schemas.openxmlformats.org/officeDocument/2006/relationships/hyperlink" Target="https://en.energinet.dk/gas/rules/" TargetMode="External"/><Relationship Id="rId32" Type="http://schemas.openxmlformats.org/officeDocument/2006/relationships/hyperlink" Target="https://transparency.entsog.eu/" TargetMode="External"/><Relationship Id="rId37" Type="http://schemas.openxmlformats.org/officeDocument/2006/relationships/hyperlink" Target="https://transparency.entsog.eu/" TargetMode="External"/><Relationship Id="rId40" Type="http://schemas.openxmlformats.org/officeDocument/2006/relationships/hyperlink" Target="https://www.energidataservice.dk/tso-gas/EntryExitGasquality" TargetMode="External"/><Relationship Id="rId45" Type="http://schemas.openxmlformats.org/officeDocument/2006/relationships/hyperlink" Target="https://www.energidataservice.dk/tso-gas/GasAccumulatedSystemBalance" TargetMode="External"/><Relationship Id="rId5" Type="http://schemas.openxmlformats.org/officeDocument/2006/relationships/hyperlink" Target="https://en.energinet.dk/gas/gas-market/" TargetMode="External"/><Relationship Id="rId15" Type="http://schemas.openxmlformats.org/officeDocument/2006/relationships/hyperlink" Target="https://en.energinet.dk/gas/rules/" TargetMode="External"/><Relationship Id="rId23" Type="http://schemas.openxmlformats.org/officeDocument/2006/relationships/hyperlink" Target="https://en.energinet.dk/gas/security-of-supply/" TargetMode="External"/><Relationship Id="rId28" Type="http://schemas.openxmlformats.org/officeDocument/2006/relationships/hyperlink" Target="https://en.energinet.dk/gas/transparency/gas-transmission-capacities/" TargetMode="External"/><Relationship Id="rId36" Type="http://schemas.openxmlformats.org/officeDocument/2006/relationships/hyperlink" Target="https://www.energidataservice.dk/tso-gas/GasAllocation" TargetMode="External"/><Relationship Id="rId10" Type="http://schemas.openxmlformats.org/officeDocument/2006/relationships/hyperlink" Target="https://en.energinet.dk/gas/rules/" TargetMode="External"/><Relationship Id="rId19" Type="http://schemas.openxmlformats.org/officeDocument/2006/relationships/hyperlink" Target="https://en.energinet.dk/media/wsketkrk/submission-of-methodology-approval-of-adjusted-commercial-balance-model_june-2021-5cg0025ts4.pdf" TargetMode="External"/><Relationship Id="rId31" Type="http://schemas.openxmlformats.org/officeDocument/2006/relationships/hyperlink" Target="https://en.energinet.dk/gas/transparency/gas-quality-and-pressure/" TargetMode="External"/><Relationship Id="rId44" Type="http://schemas.openxmlformats.org/officeDocument/2006/relationships/hyperlink" Target="https://www.energidataservice.dk/tso-gas/GasAccumulatedSystemBalance" TargetMode="External"/><Relationship Id="rId4" Type="http://schemas.openxmlformats.org/officeDocument/2006/relationships/hyperlink" Target="https://en.energinet.dk/gas/transparency/capacity-nomination-allocation-and-balancing/" TargetMode="External"/><Relationship Id="rId9" Type="http://schemas.openxmlformats.org/officeDocument/2006/relationships/hyperlink" Target="https://energy.ec.europa.eu/topics/markets-and-consumers/wholesale-energy-market/gas-network-codes_en" TargetMode="External"/><Relationship Id="rId14" Type="http://schemas.openxmlformats.org/officeDocument/2006/relationships/hyperlink" Target="https://en.energinet.dk/gas/rules/" TargetMode="External"/><Relationship Id="rId22" Type="http://schemas.openxmlformats.org/officeDocument/2006/relationships/hyperlink" Target="https://en.energinet.dk/gas/rules/" TargetMode="External"/><Relationship Id="rId27" Type="http://schemas.openxmlformats.org/officeDocument/2006/relationships/hyperlink" Target="https://en.energinet.dk/gas/shippers/edigas-xml/" TargetMode="External"/><Relationship Id="rId30" Type="http://schemas.openxmlformats.org/officeDocument/2006/relationships/hyperlink" Target="https://www.energidataservice.dk/tso-gas/EntryExitGasquality" TargetMode="External"/><Relationship Id="rId35" Type="http://schemas.openxmlformats.org/officeDocument/2006/relationships/hyperlink" Target="https://www.energidataservice.dk/tso-gas/GasCapacityUsage" TargetMode="External"/><Relationship Id="rId43" Type="http://schemas.openxmlformats.org/officeDocument/2006/relationships/hyperlink" Target="https://en.energinet.dk/gas/rules/" TargetMode="External"/><Relationship Id="rId48"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4</Pages>
  <Words>1015</Words>
  <Characters>6195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Majken B. Willumsen</dc:creator>
  <cp:keywords/>
  <dc:description/>
  <cp:lastModifiedBy>Majken B. Willumsen</cp:lastModifiedBy>
  <cp:revision>107</cp:revision>
  <dcterms:created xsi:type="dcterms:W3CDTF">2024-01-19T11:49:00Z</dcterms:created>
  <dcterms:modified xsi:type="dcterms:W3CDTF">2024-03-19T09:14:00Z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8507bc-e780-4892-8083-f8b069738aec_Enabled">
    <vt:lpwstr>true</vt:lpwstr>
  </property>
  <property fmtid="{D5CDD505-2E9C-101B-9397-08002B2CF9AE}" pid="3" name="MSIP_Label_388507bc-e780-4892-8083-f8b069738aec_SetDate">
    <vt:lpwstr>2024-01-19T12:34:32Z</vt:lpwstr>
  </property>
  <property fmtid="{D5CDD505-2E9C-101B-9397-08002B2CF9AE}" pid="4" name="MSIP_Label_388507bc-e780-4892-8083-f8b069738aec_Method">
    <vt:lpwstr>Privileged</vt:lpwstr>
  </property>
  <property fmtid="{D5CDD505-2E9C-101B-9397-08002B2CF9AE}" pid="5" name="MSIP_Label_388507bc-e780-4892-8083-f8b069738aec_Name">
    <vt:lpwstr>Til arbejdsbrug</vt:lpwstr>
  </property>
  <property fmtid="{D5CDD505-2E9C-101B-9397-08002B2CF9AE}" pid="6" name="MSIP_Label_388507bc-e780-4892-8083-f8b069738aec_SiteId">
    <vt:lpwstr>f7619355-6c67-4100-9a78-1847f30742e2</vt:lpwstr>
  </property>
  <property fmtid="{D5CDD505-2E9C-101B-9397-08002B2CF9AE}" pid="7" name="MSIP_Label_388507bc-e780-4892-8083-f8b069738aec_ActionId">
    <vt:lpwstr>980af88c-9416-4ba3-acd9-2f3055c900b4</vt:lpwstr>
  </property>
  <property fmtid="{D5CDD505-2E9C-101B-9397-08002B2CF9AE}" pid="8" name="MSIP_Label_388507bc-e780-4892-8083-f8b069738aec_ContentBits">
    <vt:lpwstr>0</vt:lpwstr>
  </property>
</Properties>
</file>